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DA82" w14:textId="77777777" w:rsidR="00EE0561" w:rsidRPr="00DF6FB1" w:rsidRDefault="00156371" w:rsidP="00EE0561">
      <w:pPr>
        <w:pStyle w:val="Heading3"/>
        <w:rPr>
          <w:rFonts w:ascii="Book Antiqua" w:hAnsi="Book Antiqua"/>
          <w:sz w:val="22"/>
          <w:szCs w:val="22"/>
        </w:rPr>
      </w:pPr>
      <w:bookmarkStart w:id="0" w:name="_Toc4670969"/>
      <w:bookmarkStart w:id="1" w:name="_Toc24626857"/>
      <w:bookmarkStart w:id="2" w:name="_Toc24640594"/>
      <w:r w:rsidRPr="00156371">
        <w:rPr>
          <w:rFonts w:ascii="Book Antiqua" w:hAnsi="Book Antiqua"/>
          <w:sz w:val="22"/>
          <w:szCs w:val="22"/>
        </w:rPr>
        <w:t>Resume of MS. Mary S. Lovell</w:t>
      </w:r>
      <w:bookmarkEnd w:id="0"/>
      <w:bookmarkEnd w:id="1"/>
      <w:bookmarkEnd w:id="2"/>
    </w:p>
    <w:p w14:paraId="7F8B5BD4" w14:textId="77777777" w:rsidR="00EE0561" w:rsidRPr="00DF6FB1" w:rsidRDefault="00156371" w:rsidP="00EE0561">
      <w:pPr>
        <w:pStyle w:val="Heading4"/>
        <w:rPr>
          <w:rFonts w:ascii="Book Antiqua" w:hAnsi="Book Antiqua"/>
          <w:sz w:val="22"/>
          <w:szCs w:val="22"/>
        </w:rPr>
      </w:pPr>
      <w:r w:rsidRPr="00156371">
        <w:rPr>
          <w:rFonts w:ascii="Book Antiqua" w:hAnsi="Book Antiqua"/>
          <w:sz w:val="22"/>
          <w:szCs w:val="22"/>
        </w:rPr>
        <w:t>AREAS OF SPECIALIZATION</w:t>
      </w:r>
    </w:p>
    <w:p w14:paraId="204ED379" w14:textId="77777777" w:rsidR="00EE0561" w:rsidRPr="00DF6FB1" w:rsidRDefault="00EE0561" w:rsidP="00EE0561">
      <w:pPr>
        <w:rPr>
          <w:szCs w:val="22"/>
        </w:rPr>
      </w:pPr>
      <w:r w:rsidRPr="00DF6FB1">
        <w:rPr>
          <w:szCs w:val="22"/>
        </w:rPr>
        <w:t xml:space="preserve">Ms. Lovell provides </w:t>
      </w:r>
      <w:r w:rsidR="00AB0B6A">
        <w:rPr>
          <w:szCs w:val="22"/>
        </w:rPr>
        <w:t>over 30 years of experience, including serving as a C-level executive of a major gas utility.  As a management consultant she creates motivated, collaborative, experienced teams who tackle complex problems, identify opportunities and achieve results.</w:t>
      </w:r>
    </w:p>
    <w:p w14:paraId="0B137B63" w14:textId="77777777" w:rsidR="00EE0561" w:rsidRPr="00DF6FB1" w:rsidRDefault="00AB0B6A" w:rsidP="00EE0561">
      <w:pPr>
        <w:rPr>
          <w:szCs w:val="22"/>
        </w:rPr>
      </w:pPr>
      <w:r>
        <w:rPr>
          <w:szCs w:val="22"/>
        </w:rPr>
        <w:t>She has obtained approvals for equity issuances and mergers from ten state regulatory commissions within one year of shareholder approval which increased the customer base by over 50% and doubled the number of states the Company served.</w:t>
      </w:r>
    </w:p>
    <w:p w14:paraId="057141CF" w14:textId="77777777" w:rsidR="00EE0561" w:rsidRPr="00DF6FB1" w:rsidRDefault="00AB0B6A" w:rsidP="00EE0561">
      <w:pPr>
        <w:rPr>
          <w:szCs w:val="22"/>
        </w:rPr>
      </w:pPr>
      <w:r>
        <w:rPr>
          <w:szCs w:val="22"/>
        </w:rPr>
        <w:t>She provided expert testimony in regulatory proceedings and depositions addressing topics as business organization, allocation of shared services costs, rate design and gas supply contracts. She managed high profile consulting engagements that analyzed over $1 billion worth of client’s purchased gas adjustments and regulatory compliance.</w:t>
      </w:r>
    </w:p>
    <w:p w14:paraId="64F6688E" w14:textId="77777777" w:rsidR="00EE0561" w:rsidRPr="00DF6FB1" w:rsidRDefault="00AB0B6A" w:rsidP="00EE0561">
      <w:pPr>
        <w:rPr>
          <w:szCs w:val="22"/>
        </w:rPr>
      </w:pPr>
      <w:r>
        <w:rPr>
          <w:szCs w:val="22"/>
        </w:rPr>
        <w:t xml:space="preserve">She served as the Chair of a select company-wide task force </w:t>
      </w:r>
      <w:r w:rsidR="00CD71E3">
        <w:rPr>
          <w:szCs w:val="22"/>
        </w:rPr>
        <w:t>formulating the</w:t>
      </w:r>
      <w:r>
        <w:rPr>
          <w:szCs w:val="22"/>
        </w:rPr>
        <w:t xml:space="preserve"> Company’s position on competition and open access. She was </w:t>
      </w:r>
      <w:r w:rsidR="00CD71E3">
        <w:rPr>
          <w:szCs w:val="22"/>
        </w:rPr>
        <w:t xml:space="preserve">also </w:t>
      </w:r>
      <w:r>
        <w:rPr>
          <w:szCs w:val="22"/>
        </w:rPr>
        <w:t>a member of firm’s Management, Retirement, Technology committees.</w:t>
      </w:r>
    </w:p>
    <w:p w14:paraId="5C15FEEE" w14:textId="77777777" w:rsidR="00EE0561" w:rsidRPr="00DF6FB1" w:rsidRDefault="00156371" w:rsidP="00EE0561">
      <w:pPr>
        <w:pStyle w:val="Heading3"/>
        <w:rPr>
          <w:rFonts w:ascii="Book Antiqua" w:hAnsi="Book Antiqua"/>
          <w:sz w:val="22"/>
          <w:szCs w:val="22"/>
        </w:rPr>
      </w:pPr>
      <w:bookmarkStart w:id="3" w:name="_Toc4564541"/>
      <w:bookmarkStart w:id="4" w:name="_Toc4564673"/>
      <w:bookmarkStart w:id="5" w:name="_Toc4670970"/>
      <w:bookmarkStart w:id="6" w:name="_Toc24550431"/>
      <w:bookmarkStart w:id="7" w:name="_Toc24625471"/>
      <w:bookmarkStart w:id="8" w:name="_Toc24626858"/>
      <w:bookmarkStart w:id="9" w:name="_Toc24627348"/>
      <w:bookmarkStart w:id="10" w:name="_Toc24627559"/>
      <w:bookmarkStart w:id="11" w:name="_Toc24627953"/>
      <w:bookmarkStart w:id="12" w:name="_Toc24640595"/>
      <w:r w:rsidRPr="00156371">
        <w:rPr>
          <w:rFonts w:ascii="Book Antiqua" w:hAnsi="Book Antiqua"/>
          <w:sz w:val="22"/>
          <w:szCs w:val="22"/>
        </w:rPr>
        <w:t>SELECTED CONSULTING EXPERIENCE</w:t>
      </w:r>
      <w:bookmarkEnd w:id="3"/>
      <w:bookmarkEnd w:id="4"/>
      <w:bookmarkEnd w:id="5"/>
      <w:bookmarkEnd w:id="6"/>
      <w:bookmarkEnd w:id="7"/>
      <w:bookmarkEnd w:id="8"/>
      <w:bookmarkEnd w:id="9"/>
      <w:bookmarkEnd w:id="10"/>
      <w:bookmarkEnd w:id="11"/>
      <w:bookmarkEnd w:id="12"/>
    </w:p>
    <w:p w14:paraId="52E1C727" w14:textId="77777777" w:rsidR="00C61886" w:rsidRPr="00DF6FB1" w:rsidRDefault="00263DBE" w:rsidP="00EE0561">
      <w:pPr>
        <w:rPr>
          <w:b/>
          <w:szCs w:val="22"/>
          <w:u w:val="single"/>
        </w:rPr>
      </w:pPr>
      <w:r w:rsidRPr="00DF6FB1">
        <w:rPr>
          <w:b/>
          <w:szCs w:val="22"/>
          <w:u w:val="single"/>
        </w:rPr>
        <w:t xml:space="preserve">Focused </w:t>
      </w:r>
      <w:r w:rsidR="00AB0B6A">
        <w:rPr>
          <w:b/>
          <w:szCs w:val="22"/>
          <w:u w:val="single"/>
        </w:rPr>
        <w:t xml:space="preserve">Audit - Evaluate Response to Events Resulting in Notice of Gas Pipeline Safety </w:t>
      </w:r>
      <w:proofErr w:type="gramStart"/>
      <w:r w:rsidR="00AB0B6A">
        <w:rPr>
          <w:b/>
          <w:szCs w:val="22"/>
          <w:u w:val="single"/>
        </w:rPr>
        <w:t>Violation  –</w:t>
      </w:r>
      <w:proofErr w:type="gramEnd"/>
      <w:r w:rsidR="00AB0B6A">
        <w:rPr>
          <w:b/>
          <w:szCs w:val="22"/>
          <w:u w:val="single"/>
        </w:rPr>
        <w:t xml:space="preserve"> Connecticut Public Utilities Regulatory Authority.</w:t>
      </w:r>
      <w:r w:rsidR="00AB0B6A">
        <w:rPr>
          <w:szCs w:val="22"/>
        </w:rPr>
        <w:t xml:space="preserve"> Senior consultant on project which reviewed all aspects and decisions of CNG/Avangrid management before and subsequent to the NOV. </w:t>
      </w:r>
    </w:p>
    <w:p w14:paraId="3AA20314" w14:textId="77777777" w:rsidR="00EE0561" w:rsidRPr="00DF6FB1" w:rsidRDefault="00AB0B6A" w:rsidP="00EE0561">
      <w:pPr>
        <w:rPr>
          <w:szCs w:val="22"/>
        </w:rPr>
      </w:pPr>
      <w:r>
        <w:rPr>
          <w:b/>
          <w:szCs w:val="22"/>
          <w:u w:val="single"/>
        </w:rPr>
        <w:t>Gas Hedging Review - New Jersey Board of Public Utilities</w:t>
      </w:r>
      <w:r>
        <w:rPr>
          <w:b/>
          <w:szCs w:val="22"/>
        </w:rPr>
        <w:t xml:space="preserve"> </w:t>
      </w:r>
      <w:r>
        <w:rPr>
          <w:szCs w:val="22"/>
        </w:rPr>
        <w:t>– Director on major project to review hedging practices of the four gas distribution utilities in New Jersey. Working with Pace Energy as a sub-contractor, alternate hedging strategies were developed and proposed using more advanced techniques, including options.</w:t>
      </w:r>
    </w:p>
    <w:p w14:paraId="745CDCEC" w14:textId="77777777" w:rsidR="00EE0561" w:rsidRPr="00DF6FB1" w:rsidRDefault="00AB0B6A" w:rsidP="00EE0561">
      <w:pPr>
        <w:rPr>
          <w:szCs w:val="22"/>
        </w:rPr>
      </w:pPr>
      <w:r>
        <w:rPr>
          <w:b/>
          <w:szCs w:val="22"/>
          <w:u w:val="single"/>
        </w:rPr>
        <w:t>Project Manager</w:t>
      </w:r>
      <w:r>
        <w:rPr>
          <w:b/>
          <w:szCs w:val="22"/>
        </w:rPr>
        <w:t xml:space="preserve"> </w:t>
      </w:r>
      <w:r w:rsidR="00CD71E3" w:rsidRPr="00CD71E3">
        <w:rPr>
          <w:szCs w:val="22"/>
        </w:rPr>
        <w:t>on</w:t>
      </w:r>
      <w:r w:rsidR="00CD71E3">
        <w:rPr>
          <w:b/>
          <w:szCs w:val="22"/>
        </w:rPr>
        <w:t xml:space="preserve"> </w:t>
      </w:r>
      <w:r>
        <w:rPr>
          <w:szCs w:val="22"/>
        </w:rPr>
        <w:t>engagement which analyzed over $1 billion worth of client’s purchased gas adjustments and compliance over a 36-month period marked by changing processes, systems, and people. Created work plan, directed staff, managed client expectations, and created deliverables. Issued report to client within six months of project start date. Co-manager of business process transformation engagement.</w:t>
      </w:r>
    </w:p>
    <w:p w14:paraId="29942E97" w14:textId="77777777" w:rsidR="00EE0561" w:rsidRPr="00DF6FB1" w:rsidRDefault="00AB0B6A" w:rsidP="00EE0561">
      <w:pPr>
        <w:rPr>
          <w:szCs w:val="22"/>
        </w:rPr>
      </w:pPr>
      <w:r>
        <w:rPr>
          <w:b/>
          <w:szCs w:val="22"/>
          <w:u w:val="single"/>
        </w:rPr>
        <w:t>Southern Gas Association</w:t>
      </w:r>
      <w:r>
        <w:rPr>
          <w:b/>
          <w:szCs w:val="22"/>
        </w:rPr>
        <w:t xml:space="preserve"> </w:t>
      </w:r>
      <w:r>
        <w:rPr>
          <w:szCs w:val="22"/>
        </w:rPr>
        <w:t>– Developed and delivered continuing professional education for SGA and its distance learning subsidiary (CTN). Courses included introductory and intermediate rates, advanced gas accounting for managers and supervisors. Developed series of programs on Sarbanes Oxley for corporate boards of energy firms.</w:t>
      </w:r>
    </w:p>
    <w:p w14:paraId="34CC1D37" w14:textId="77777777" w:rsidR="00EE0561" w:rsidRPr="00DF6FB1" w:rsidRDefault="00AB0B6A" w:rsidP="00EE0561">
      <w:pPr>
        <w:rPr>
          <w:szCs w:val="22"/>
        </w:rPr>
      </w:pPr>
      <w:r>
        <w:rPr>
          <w:b/>
          <w:szCs w:val="22"/>
          <w:u w:val="single"/>
        </w:rPr>
        <w:t>MSL Group, LLC</w:t>
      </w:r>
      <w:r>
        <w:rPr>
          <w:b/>
          <w:szCs w:val="22"/>
        </w:rPr>
        <w:t xml:space="preserve">. - </w:t>
      </w:r>
      <w:r>
        <w:rPr>
          <w:szCs w:val="22"/>
        </w:rPr>
        <w:t>Provides litigation support, management consulting services for natural gas industry.</w:t>
      </w:r>
    </w:p>
    <w:p w14:paraId="15898FF7" w14:textId="77777777" w:rsidR="00EE0561" w:rsidRPr="00DF6FB1" w:rsidRDefault="00156371" w:rsidP="00EE0561">
      <w:pPr>
        <w:pStyle w:val="Heading3"/>
        <w:rPr>
          <w:rFonts w:ascii="Book Antiqua" w:hAnsi="Book Antiqua"/>
          <w:sz w:val="22"/>
          <w:szCs w:val="22"/>
        </w:rPr>
      </w:pPr>
      <w:bookmarkStart w:id="13" w:name="_Toc4564542"/>
      <w:bookmarkStart w:id="14" w:name="_Toc4564674"/>
      <w:bookmarkStart w:id="15" w:name="_Toc4670971"/>
      <w:bookmarkStart w:id="16" w:name="_Toc24550432"/>
      <w:bookmarkStart w:id="17" w:name="_Toc24625472"/>
      <w:bookmarkStart w:id="18" w:name="_Toc24626859"/>
      <w:bookmarkStart w:id="19" w:name="_Toc24627349"/>
      <w:bookmarkStart w:id="20" w:name="_Toc24627560"/>
      <w:bookmarkStart w:id="21" w:name="_Toc24627954"/>
      <w:bookmarkStart w:id="22" w:name="_Toc24640596"/>
      <w:r w:rsidRPr="00156371">
        <w:rPr>
          <w:rFonts w:ascii="Book Antiqua" w:hAnsi="Book Antiqua"/>
          <w:sz w:val="22"/>
          <w:szCs w:val="22"/>
        </w:rPr>
        <w:lastRenderedPageBreak/>
        <w:t>PREVIOUS BUSINESS EXPERIENCE</w:t>
      </w:r>
      <w:bookmarkEnd w:id="13"/>
      <w:bookmarkEnd w:id="14"/>
      <w:bookmarkEnd w:id="15"/>
      <w:bookmarkEnd w:id="16"/>
      <w:bookmarkEnd w:id="17"/>
      <w:bookmarkEnd w:id="18"/>
      <w:bookmarkEnd w:id="19"/>
      <w:bookmarkEnd w:id="20"/>
      <w:bookmarkEnd w:id="21"/>
      <w:bookmarkEnd w:id="22"/>
    </w:p>
    <w:p w14:paraId="5964A70F" w14:textId="77777777" w:rsidR="00EE0561" w:rsidRPr="00DF6FB1" w:rsidRDefault="00EE0561" w:rsidP="00094733">
      <w:pPr>
        <w:spacing w:after="0"/>
        <w:rPr>
          <w:szCs w:val="22"/>
        </w:rPr>
      </w:pPr>
      <w:r w:rsidRPr="00DF6FB1">
        <w:rPr>
          <w:b/>
          <w:szCs w:val="22"/>
        </w:rPr>
        <w:t xml:space="preserve">Arthur Andersen LLP </w:t>
      </w:r>
      <w:r w:rsidRPr="00DF6FB1">
        <w:rPr>
          <w:b/>
          <w:i/>
          <w:szCs w:val="22"/>
        </w:rPr>
        <w:t xml:space="preserve">– </w:t>
      </w:r>
      <w:r w:rsidR="00AB0B6A">
        <w:rPr>
          <w:szCs w:val="22"/>
        </w:rPr>
        <w:t>Dallas, Texas, 2001-2002</w:t>
      </w:r>
    </w:p>
    <w:p w14:paraId="0569CA5D" w14:textId="77777777" w:rsidR="00EE0561" w:rsidRPr="00DF6FB1" w:rsidRDefault="00AB0B6A" w:rsidP="00094733">
      <w:pPr>
        <w:spacing w:after="0"/>
        <w:rPr>
          <w:szCs w:val="22"/>
        </w:rPr>
      </w:pPr>
      <w:r>
        <w:rPr>
          <w:szCs w:val="22"/>
        </w:rPr>
        <w:t xml:space="preserve">Major public accounting and consulting firm. </w:t>
      </w:r>
    </w:p>
    <w:p w14:paraId="4684F214" w14:textId="77777777" w:rsidR="00EE0561" w:rsidRPr="00DF6FB1" w:rsidRDefault="00156371" w:rsidP="00094733">
      <w:pPr>
        <w:pStyle w:val="Heading4"/>
        <w:spacing w:after="0"/>
        <w:rPr>
          <w:rFonts w:ascii="Book Antiqua" w:hAnsi="Book Antiqua"/>
          <w:sz w:val="22"/>
          <w:szCs w:val="22"/>
        </w:rPr>
      </w:pPr>
      <w:bookmarkStart w:id="23" w:name="_Toc4564543"/>
      <w:bookmarkStart w:id="24" w:name="_Toc4564675"/>
      <w:bookmarkStart w:id="25" w:name="_Toc4670972"/>
      <w:bookmarkStart w:id="26" w:name="_Toc24550433"/>
      <w:bookmarkStart w:id="27" w:name="_Toc24625473"/>
      <w:bookmarkStart w:id="28" w:name="_Toc24626860"/>
      <w:bookmarkStart w:id="29" w:name="_Toc24627350"/>
      <w:bookmarkStart w:id="30" w:name="_Toc24627561"/>
      <w:bookmarkStart w:id="31" w:name="_Toc24627955"/>
      <w:bookmarkStart w:id="32" w:name="_Toc24640597"/>
      <w:r w:rsidRPr="00156371">
        <w:rPr>
          <w:rFonts w:ascii="Book Antiqua" w:hAnsi="Book Antiqua"/>
          <w:sz w:val="22"/>
          <w:szCs w:val="22"/>
        </w:rPr>
        <w:tab/>
        <w:t xml:space="preserve">Senior Manager </w:t>
      </w:r>
      <w:r w:rsidRPr="00156371">
        <w:rPr>
          <w:rFonts w:ascii="Book Antiqua" w:hAnsi="Book Antiqua"/>
          <w:i/>
          <w:sz w:val="22"/>
          <w:szCs w:val="22"/>
        </w:rPr>
        <w:t>–</w:t>
      </w:r>
      <w:r w:rsidRPr="00156371">
        <w:rPr>
          <w:rFonts w:ascii="Book Antiqua" w:hAnsi="Book Antiqua"/>
          <w:sz w:val="22"/>
          <w:szCs w:val="22"/>
        </w:rPr>
        <w:t>Risk Consulting</w:t>
      </w:r>
      <w:bookmarkEnd w:id="23"/>
      <w:bookmarkEnd w:id="24"/>
      <w:bookmarkEnd w:id="25"/>
      <w:bookmarkEnd w:id="26"/>
      <w:bookmarkEnd w:id="27"/>
      <w:bookmarkEnd w:id="28"/>
      <w:bookmarkEnd w:id="29"/>
      <w:bookmarkEnd w:id="30"/>
      <w:bookmarkEnd w:id="31"/>
      <w:bookmarkEnd w:id="32"/>
    </w:p>
    <w:p w14:paraId="7547CE1E" w14:textId="77777777" w:rsidR="00EE0561" w:rsidRPr="00DF6FB1" w:rsidRDefault="00EE0561" w:rsidP="00EE0561">
      <w:pPr>
        <w:rPr>
          <w:szCs w:val="22"/>
        </w:rPr>
      </w:pPr>
      <w:r w:rsidRPr="00DF6FB1">
        <w:rPr>
          <w:szCs w:val="22"/>
        </w:rPr>
        <w:t xml:space="preserve">Managed consulting engagements valued </w:t>
      </w:r>
      <w:r w:rsidRPr="00DF6FB1">
        <w:rPr>
          <w:b/>
          <w:i/>
          <w:szCs w:val="22"/>
        </w:rPr>
        <w:t xml:space="preserve">in excess of $1 million </w:t>
      </w:r>
      <w:r w:rsidR="00AB0B6A">
        <w:rPr>
          <w:szCs w:val="22"/>
        </w:rPr>
        <w:t xml:space="preserve">with key pipeline and utility accounts. Services related to litigation support, best practices, strategic direction, process management, operations transformation, business integration. Client initiated </w:t>
      </w:r>
      <w:r w:rsidR="00AB0B6A">
        <w:rPr>
          <w:b/>
          <w:i/>
          <w:szCs w:val="22"/>
        </w:rPr>
        <w:t xml:space="preserve">follow-up engagements </w:t>
      </w:r>
      <w:r w:rsidR="00AB0B6A">
        <w:rPr>
          <w:szCs w:val="22"/>
        </w:rPr>
        <w:t>as a result. Areas of expertise: strategy, organization design, gas accounting, supply, rates/regulatory, contract management, billing, litigation strategy.</w:t>
      </w:r>
    </w:p>
    <w:p w14:paraId="5EBB4178" w14:textId="77777777" w:rsidR="00EE0561" w:rsidRPr="00DF6FB1" w:rsidRDefault="00156371" w:rsidP="00094733">
      <w:pPr>
        <w:pStyle w:val="Heading4"/>
        <w:spacing w:after="0"/>
        <w:rPr>
          <w:rFonts w:ascii="Book Antiqua" w:hAnsi="Book Antiqua"/>
          <w:sz w:val="22"/>
          <w:szCs w:val="22"/>
        </w:rPr>
      </w:pPr>
      <w:bookmarkStart w:id="33" w:name="_Toc4564544"/>
      <w:bookmarkStart w:id="34" w:name="_Toc4564676"/>
      <w:bookmarkStart w:id="35" w:name="_Toc4670973"/>
      <w:bookmarkStart w:id="36" w:name="_Toc24550434"/>
      <w:bookmarkStart w:id="37" w:name="_Toc24625474"/>
      <w:bookmarkStart w:id="38" w:name="_Toc24626861"/>
      <w:bookmarkStart w:id="39" w:name="_Toc24627351"/>
      <w:bookmarkStart w:id="40" w:name="_Toc24627562"/>
      <w:bookmarkStart w:id="41" w:name="_Toc24627956"/>
      <w:bookmarkStart w:id="42" w:name="_Toc24640598"/>
      <w:r w:rsidRPr="00156371">
        <w:rPr>
          <w:rFonts w:ascii="Book Antiqua" w:hAnsi="Book Antiqua"/>
          <w:sz w:val="22"/>
          <w:szCs w:val="22"/>
        </w:rPr>
        <w:t>Atmos Energy Corporation – Dallas, Texas, 1988 – 1998</w:t>
      </w:r>
      <w:bookmarkEnd w:id="33"/>
      <w:bookmarkEnd w:id="34"/>
      <w:bookmarkEnd w:id="35"/>
      <w:bookmarkEnd w:id="36"/>
      <w:bookmarkEnd w:id="37"/>
      <w:bookmarkEnd w:id="38"/>
      <w:bookmarkEnd w:id="39"/>
      <w:bookmarkEnd w:id="40"/>
      <w:bookmarkEnd w:id="41"/>
      <w:bookmarkEnd w:id="42"/>
    </w:p>
    <w:p w14:paraId="50CB7A13" w14:textId="77777777" w:rsidR="00EE0561" w:rsidRDefault="00EE0561" w:rsidP="00094733">
      <w:pPr>
        <w:spacing w:after="0"/>
        <w:rPr>
          <w:szCs w:val="22"/>
        </w:rPr>
      </w:pPr>
      <w:r w:rsidRPr="00DF6FB1">
        <w:rPr>
          <w:szCs w:val="22"/>
        </w:rPr>
        <w:t>Sixth largest gas natural gas distribution company serving over one million customers in thirteen states. Company was top quartile performer and executed four acquisitions during this period.</w:t>
      </w:r>
    </w:p>
    <w:p w14:paraId="291710CE" w14:textId="77777777" w:rsidR="00094733" w:rsidRPr="00DF6FB1" w:rsidRDefault="00094733" w:rsidP="00094733">
      <w:pPr>
        <w:spacing w:after="0"/>
        <w:rPr>
          <w:szCs w:val="22"/>
        </w:rPr>
      </w:pPr>
    </w:p>
    <w:p w14:paraId="74EC89DF" w14:textId="77777777" w:rsidR="00EE0561" w:rsidRPr="00DF6FB1" w:rsidRDefault="00156371" w:rsidP="00EE0561">
      <w:pPr>
        <w:pStyle w:val="Heading5"/>
        <w:rPr>
          <w:rFonts w:ascii="Book Antiqua" w:hAnsi="Book Antiqua"/>
          <w:sz w:val="22"/>
          <w:szCs w:val="22"/>
        </w:rPr>
      </w:pPr>
      <w:bookmarkStart w:id="43" w:name="_Toc4564545"/>
      <w:bookmarkStart w:id="44" w:name="_Toc4564677"/>
      <w:bookmarkStart w:id="45" w:name="_Toc4670974"/>
      <w:bookmarkStart w:id="46" w:name="_Toc24550435"/>
      <w:bookmarkStart w:id="47" w:name="_Toc24625475"/>
      <w:bookmarkStart w:id="48" w:name="_Toc24626862"/>
      <w:bookmarkStart w:id="49" w:name="_Toc24627352"/>
      <w:bookmarkStart w:id="50" w:name="_Toc24627563"/>
      <w:bookmarkStart w:id="51" w:name="_Toc24627957"/>
      <w:bookmarkStart w:id="52" w:name="_Toc24640599"/>
      <w:r w:rsidRPr="00156371">
        <w:rPr>
          <w:rFonts w:ascii="Book Antiqua" w:hAnsi="Book Antiqua"/>
          <w:sz w:val="22"/>
          <w:szCs w:val="22"/>
        </w:rPr>
        <w:t xml:space="preserve">Senior Vice President- Utility Services </w:t>
      </w:r>
      <w:r w:rsidRPr="00156371">
        <w:rPr>
          <w:rFonts w:ascii="Book Antiqua" w:hAnsi="Book Antiqua"/>
          <w:i/>
          <w:sz w:val="22"/>
          <w:szCs w:val="22"/>
        </w:rPr>
        <w:t xml:space="preserve">– </w:t>
      </w:r>
      <w:r w:rsidRPr="00156371">
        <w:rPr>
          <w:rFonts w:ascii="Book Antiqua" w:hAnsi="Book Antiqua"/>
          <w:sz w:val="22"/>
          <w:szCs w:val="22"/>
        </w:rPr>
        <w:t>1995-1998</w:t>
      </w:r>
      <w:bookmarkEnd w:id="43"/>
      <w:bookmarkEnd w:id="44"/>
      <w:bookmarkEnd w:id="45"/>
      <w:bookmarkEnd w:id="46"/>
      <w:bookmarkEnd w:id="47"/>
      <w:bookmarkEnd w:id="48"/>
      <w:bookmarkEnd w:id="49"/>
      <w:bookmarkEnd w:id="50"/>
      <w:bookmarkEnd w:id="51"/>
      <w:bookmarkEnd w:id="52"/>
    </w:p>
    <w:p w14:paraId="31722474" w14:textId="77777777" w:rsidR="00EE0561" w:rsidRPr="00DF6FB1" w:rsidRDefault="00EE0561" w:rsidP="00EE0561">
      <w:pPr>
        <w:rPr>
          <w:szCs w:val="22"/>
        </w:rPr>
      </w:pPr>
      <w:r w:rsidRPr="00DF6FB1">
        <w:rPr>
          <w:szCs w:val="22"/>
        </w:rPr>
        <w:t xml:space="preserve">One of six officers reporting directly to Chairman, President &amp; CEO.  Led Marketing, Gas Supply, and Rates &amp; Regulatory Affairs functions in shared services environment. Co-chair of merger integration teams </w:t>
      </w:r>
      <w:r w:rsidR="00AB0B6A">
        <w:rPr>
          <w:szCs w:val="22"/>
        </w:rPr>
        <w:t>following merger and</w:t>
      </w:r>
      <w:r w:rsidR="00094733">
        <w:rPr>
          <w:szCs w:val="22"/>
        </w:rPr>
        <w:t xml:space="preserve"> launched</w:t>
      </w:r>
      <w:r w:rsidR="00AB0B6A">
        <w:rPr>
          <w:szCs w:val="22"/>
        </w:rPr>
        <w:t xml:space="preserve"> major technology investment. Reorganization reduced labor costs </w:t>
      </w:r>
      <w:r w:rsidR="00AB0B6A">
        <w:rPr>
          <w:b/>
          <w:i/>
          <w:szCs w:val="22"/>
        </w:rPr>
        <w:t xml:space="preserve">over </w:t>
      </w:r>
      <w:r w:rsidR="00094733">
        <w:rPr>
          <w:b/>
          <w:i/>
          <w:szCs w:val="22"/>
        </w:rPr>
        <w:t>2</w:t>
      </w:r>
      <w:r w:rsidR="00AB0B6A">
        <w:rPr>
          <w:b/>
          <w:i/>
          <w:szCs w:val="22"/>
        </w:rPr>
        <w:t xml:space="preserve">0%. Company (among the lowest cost providers in the industry.)  </w:t>
      </w:r>
    </w:p>
    <w:p w14:paraId="02ED341C" w14:textId="77777777" w:rsidR="00EE0561" w:rsidRPr="00DF6FB1" w:rsidRDefault="00156371" w:rsidP="00EE0561">
      <w:pPr>
        <w:pStyle w:val="Heading5"/>
        <w:rPr>
          <w:rFonts w:ascii="Book Antiqua" w:hAnsi="Book Antiqua"/>
          <w:sz w:val="22"/>
          <w:szCs w:val="22"/>
        </w:rPr>
      </w:pPr>
      <w:bookmarkStart w:id="53" w:name="_Toc4564546"/>
      <w:bookmarkStart w:id="54" w:name="_Toc4564678"/>
      <w:bookmarkStart w:id="55" w:name="_Toc4670975"/>
      <w:bookmarkStart w:id="56" w:name="_Toc24550436"/>
      <w:bookmarkStart w:id="57" w:name="_Toc24625476"/>
      <w:bookmarkStart w:id="58" w:name="_Toc24626863"/>
      <w:bookmarkStart w:id="59" w:name="_Toc24627353"/>
      <w:bookmarkStart w:id="60" w:name="_Toc24627564"/>
      <w:bookmarkStart w:id="61" w:name="_Toc24627958"/>
      <w:bookmarkStart w:id="62" w:name="_Toc24640600"/>
      <w:r w:rsidRPr="00156371">
        <w:rPr>
          <w:rFonts w:ascii="Book Antiqua" w:hAnsi="Book Antiqua"/>
          <w:sz w:val="22"/>
          <w:szCs w:val="22"/>
        </w:rPr>
        <w:t>Vice President, Rates &amp; Regulatory Affairs- 1990-1995</w:t>
      </w:r>
      <w:bookmarkEnd w:id="53"/>
      <w:bookmarkEnd w:id="54"/>
      <w:bookmarkEnd w:id="55"/>
      <w:bookmarkEnd w:id="56"/>
      <w:bookmarkEnd w:id="57"/>
      <w:bookmarkEnd w:id="58"/>
      <w:bookmarkEnd w:id="59"/>
      <w:bookmarkEnd w:id="60"/>
      <w:bookmarkEnd w:id="61"/>
      <w:bookmarkEnd w:id="62"/>
    </w:p>
    <w:p w14:paraId="60F4D1F7" w14:textId="77777777" w:rsidR="00986695" w:rsidRDefault="00EE0561">
      <w:pPr>
        <w:spacing w:after="0"/>
        <w:rPr>
          <w:szCs w:val="22"/>
        </w:rPr>
      </w:pPr>
      <w:r w:rsidRPr="00DF6FB1">
        <w:rPr>
          <w:szCs w:val="22"/>
        </w:rPr>
        <w:t xml:space="preserve">Directed all aspects of Company’s regulatory activities before federal and six State Regulatory Commissions. Increased revenue </w:t>
      </w:r>
      <w:r w:rsidR="00AB0B6A">
        <w:rPr>
          <w:b/>
          <w:i/>
          <w:szCs w:val="22"/>
        </w:rPr>
        <w:t>over $28 million</w:t>
      </w:r>
      <w:r w:rsidR="00AB0B6A">
        <w:rPr>
          <w:szCs w:val="22"/>
        </w:rPr>
        <w:t xml:space="preserve">. Secured merger approvals within seven months of shareholder vote. Merger doubled the number of states Company operated in and increased customer base </w:t>
      </w:r>
      <w:r w:rsidR="00AB0B6A">
        <w:rPr>
          <w:b/>
          <w:i/>
          <w:szCs w:val="22"/>
        </w:rPr>
        <w:t xml:space="preserve">20%. </w:t>
      </w:r>
      <w:r w:rsidR="00AB0B6A">
        <w:rPr>
          <w:szCs w:val="22"/>
        </w:rPr>
        <w:t xml:space="preserve">Negotiated gas purchase, transportation and storage contracts Responsible for operating budget of approximately </w:t>
      </w:r>
      <w:r w:rsidR="00AB0B6A">
        <w:rPr>
          <w:b/>
          <w:i/>
          <w:szCs w:val="22"/>
        </w:rPr>
        <w:t>$2 million</w:t>
      </w:r>
      <w:r w:rsidR="00AB0B6A">
        <w:rPr>
          <w:szCs w:val="22"/>
        </w:rPr>
        <w:t>.</w:t>
      </w:r>
    </w:p>
    <w:p w14:paraId="2B27C8A0" w14:textId="77777777" w:rsidR="00094733" w:rsidRDefault="00094733" w:rsidP="00094733">
      <w:pPr>
        <w:pStyle w:val="Heading5"/>
        <w:spacing w:after="0"/>
        <w:rPr>
          <w:rFonts w:ascii="Book Antiqua" w:hAnsi="Book Antiqua"/>
          <w:sz w:val="22"/>
          <w:szCs w:val="22"/>
        </w:rPr>
      </w:pPr>
      <w:bookmarkStart w:id="63" w:name="_Toc4564547"/>
      <w:bookmarkStart w:id="64" w:name="_Toc4564679"/>
      <w:bookmarkStart w:id="65" w:name="_Toc4670976"/>
      <w:bookmarkStart w:id="66" w:name="_Toc24550437"/>
      <w:bookmarkStart w:id="67" w:name="_Toc24625477"/>
      <w:bookmarkStart w:id="68" w:name="_Toc24626864"/>
      <w:bookmarkStart w:id="69" w:name="_Toc24627354"/>
      <w:bookmarkStart w:id="70" w:name="_Toc24627565"/>
      <w:bookmarkStart w:id="71" w:name="_Toc24627959"/>
      <w:bookmarkStart w:id="72" w:name="_Toc24640601"/>
    </w:p>
    <w:p w14:paraId="30486F14" w14:textId="77777777" w:rsidR="00EE0561" w:rsidRPr="00DF6FB1" w:rsidRDefault="00156371" w:rsidP="00094733">
      <w:pPr>
        <w:pStyle w:val="Heading5"/>
        <w:spacing w:after="0"/>
        <w:rPr>
          <w:rFonts w:ascii="Book Antiqua" w:hAnsi="Book Antiqua"/>
          <w:sz w:val="22"/>
          <w:szCs w:val="22"/>
        </w:rPr>
      </w:pPr>
      <w:r w:rsidRPr="00156371">
        <w:rPr>
          <w:rFonts w:ascii="Book Antiqua" w:hAnsi="Book Antiqua"/>
          <w:sz w:val="22"/>
          <w:szCs w:val="22"/>
        </w:rPr>
        <w:t>System Vice President, Rates- 1988-1990</w:t>
      </w:r>
      <w:bookmarkEnd w:id="63"/>
      <w:bookmarkEnd w:id="64"/>
      <w:bookmarkEnd w:id="65"/>
      <w:bookmarkEnd w:id="66"/>
      <w:bookmarkEnd w:id="67"/>
      <w:bookmarkEnd w:id="68"/>
      <w:bookmarkEnd w:id="69"/>
      <w:bookmarkEnd w:id="70"/>
      <w:bookmarkEnd w:id="71"/>
      <w:bookmarkEnd w:id="72"/>
    </w:p>
    <w:p w14:paraId="65DA1AA5" w14:textId="77777777" w:rsidR="00EE0561" w:rsidRPr="00DF6FB1" w:rsidRDefault="00EE0561" w:rsidP="00EE0561">
      <w:pPr>
        <w:rPr>
          <w:szCs w:val="22"/>
        </w:rPr>
      </w:pPr>
      <w:r w:rsidRPr="00DF6FB1">
        <w:rPr>
          <w:szCs w:val="22"/>
        </w:rPr>
        <w:t xml:space="preserve">Created department that provided leadership to Company following a major acquisition. </w:t>
      </w:r>
      <w:r w:rsidR="00094733">
        <w:rPr>
          <w:szCs w:val="22"/>
        </w:rPr>
        <w:t xml:space="preserve">Renegotiated </w:t>
      </w:r>
      <w:r w:rsidRPr="00DF6FB1">
        <w:rPr>
          <w:szCs w:val="22"/>
        </w:rPr>
        <w:t>services, contracts and rates in the wake of pipeline supplier filings and FERC actions</w:t>
      </w:r>
    </w:p>
    <w:p w14:paraId="7B3D179C" w14:textId="77777777" w:rsidR="00986695" w:rsidRDefault="00156371">
      <w:pPr>
        <w:pStyle w:val="Heading4"/>
        <w:spacing w:after="0"/>
        <w:rPr>
          <w:rFonts w:ascii="Book Antiqua" w:hAnsi="Book Antiqua"/>
          <w:sz w:val="22"/>
          <w:szCs w:val="22"/>
        </w:rPr>
      </w:pPr>
      <w:bookmarkStart w:id="73" w:name="_Toc4564548"/>
      <w:bookmarkStart w:id="74" w:name="_Toc4564680"/>
      <w:bookmarkStart w:id="75" w:name="_Toc4670977"/>
      <w:bookmarkStart w:id="76" w:name="_Toc24550438"/>
      <w:bookmarkStart w:id="77" w:name="_Toc24625478"/>
      <w:bookmarkStart w:id="78" w:name="_Toc24626865"/>
      <w:bookmarkStart w:id="79" w:name="_Toc24627355"/>
      <w:bookmarkStart w:id="80" w:name="_Toc24627566"/>
      <w:bookmarkStart w:id="81" w:name="_Toc24627960"/>
      <w:bookmarkStart w:id="82" w:name="_Toc24640602"/>
      <w:r w:rsidRPr="00156371">
        <w:rPr>
          <w:rFonts w:ascii="Book Antiqua" w:hAnsi="Book Antiqua"/>
          <w:sz w:val="22"/>
          <w:szCs w:val="22"/>
        </w:rPr>
        <w:t>Gulf South Pipe Line Company (formerly known as United Gas Pipe Line Company)</w:t>
      </w:r>
      <w:bookmarkEnd w:id="73"/>
      <w:bookmarkEnd w:id="74"/>
      <w:bookmarkEnd w:id="75"/>
      <w:bookmarkEnd w:id="76"/>
      <w:bookmarkEnd w:id="77"/>
      <w:bookmarkEnd w:id="78"/>
      <w:bookmarkEnd w:id="79"/>
      <w:bookmarkEnd w:id="80"/>
      <w:bookmarkEnd w:id="81"/>
      <w:bookmarkEnd w:id="82"/>
    </w:p>
    <w:p w14:paraId="71BFBC8C" w14:textId="77777777" w:rsidR="00986695" w:rsidRDefault="00EE0561">
      <w:pPr>
        <w:spacing w:after="0"/>
        <w:rPr>
          <w:szCs w:val="22"/>
        </w:rPr>
      </w:pPr>
      <w:r w:rsidRPr="00DF6FB1">
        <w:rPr>
          <w:szCs w:val="22"/>
        </w:rPr>
        <w:t>Houston, Texas, 1982 - 1988</w:t>
      </w:r>
    </w:p>
    <w:p w14:paraId="63B130E2" w14:textId="77777777" w:rsidR="00986695" w:rsidRDefault="00AB0B6A">
      <w:pPr>
        <w:spacing w:after="0"/>
        <w:rPr>
          <w:b/>
          <w:szCs w:val="22"/>
        </w:rPr>
      </w:pPr>
      <w:r>
        <w:rPr>
          <w:szCs w:val="22"/>
        </w:rPr>
        <w:t xml:space="preserve">Major interstate natural gas pipeline company. </w:t>
      </w:r>
      <w:r>
        <w:rPr>
          <w:b/>
          <w:szCs w:val="22"/>
        </w:rPr>
        <w:t>Director of Rates</w:t>
      </w:r>
    </w:p>
    <w:p w14:paraId="1FAD28D8" w14:textId="77777777" w:rsidR="00EE0561" w:rsidRPr="00DF6FB1" w:rsidRDefault="00094733" w:rsidP="00EE0561">
      <w:pPr>
        <w:rPr>
          <w:szCs w:val="22"/>
        </w:rPr>
      </w:pPr>
      <w:r>
        <w:rPr>
          <w:szCs w:val="22"/>
        </w:rPr>
        <w:t>Department l</w:t>
      </w:r>
      <w:r w:rsidR="00AB0B6A">
        <w:rPr>
          <w:szCs w:val="22"/>
        </w:rPr>
        <w:t>eader during time of historic industry restructuring by FERC and reorganizations due to acquisitions. Company filed numerous rate and certificate applications which addressed the dynamic business and regulatory environment. Issues such as Orders 380, 436, 636 were addressed. Gas contract obligations and the recovery of related costs were also litigated. Analyzed Company’s cost of service, cost classification, allocation and rate design, depreciation and negative salvage, cost of capital and capital structure for regulatory filings. Drafted tariff terms and conditions, responses to data requests and testimony. Represented Company on Partnership Committees.</w:t>
      </w:r>
    </w:p>
    <w:p w14:paraId="510498AC" w14:textId="77777777" w:rsidR="00986695" w:rsidRDefault="00AB0B6A">
      <w:pPr>
        <w:spacing w:after="0"/>
        <w:rPr>
          <w:szCs w:val="22"/>
        </w:rPr>
      </w:pPr>
      <w:r>
        <w:rPr>
          <w:b/>
          <w:szCs w:val="22"/>
        </w:rPr>
        <w:lastRenderedPageBreak/>
        <w:t xml:space="preserve">CenterPoint Energy (formerly known as Entex, Inc.) </w:t>
      </w:r>
      <w:r>
        <w:rPr>
          <w:szCs w:val="22"/>
        </w:rPr>
        <w:t xml:space="preserve">- Houston, Texas, 1979 – 1982 </w:t>
      </w:r>
    </w:p>
    <w:p w14:paraId="3861CCC9" w14:textId="77777777" w:rsidR="00986695" w:rsidRDefault="00AB0B6A">
      <w:pPr>
        <w:spacing w:after="0"/>
        <w:rPr>
          <w:szCs w:val="22"/>
        </w:rPr>
      </w:pPr>
      <w:r>
        <w:rPr>
          <w:szCs w:val="22"/>
        </w:rPr>
        <w:t>Natural gas distribution company serving over 1 million customers in three states.</w:t>
      </w:r>
    </w:p>
    <w:p w14:paraId="1AFA0DBE" w14:textId="77777777" w:rsidR="00156371" w:rsidRDefault="00AB0B6A" w:rsidP="00156371">
      <w:pPr>
        <w:spacing w:after="0"/>
        <w:rPr>
          <w:szCs w:val="22"/>
        </w:rPr>
      </w:pPr>
      <w:r>
        <w:rPr>
          <w:szCs w:val="22"/>
        </w:rPr>
        <w:t>Evaluated implications of NGPA of 1978 on supply portfolio. Forecast gas costs. Administered and analyzed gas cost recovery mechanisms. Adjunct faculty in business administration, University of Houston.</w:t>
      </w:r>
    </w:p>
    <w:p w14:paraId="05EDF9E2" w14:textId="77777777" w:rsidR="005E1B53" w:rsidRPr="00DF6FB1" w:rsidRDefault="005E1B53" w:rsidP="00EE0561">
      <w:pPr>
        <w:ind w:left="280"/>
        <w:rPr>
          <w:b/>
          <w:szCs w:val="22"/>
        </w:rPr>
      </w:pPr>
    </w:p>
    <w:p w14:paraId="15980E00" w14:textId="77777777" w:rsidR="00156371" w:rsidRPr="00156371" w:rsidRDefault="00156371" w:rsidP="00156371">
      <w:pPr>
        <w:rPr>
          <w:b/>
          <w:szCs w:val="22"/>
        </w:rPr>
      </w:pPr>
      <w:r w:rsidRPr="00156371">
        <w:rPr>
          <w:b/>
          <w:szCs w:val="22"/>
        </w:rPr>
        <w:t>TESTIMONY</w:t>
      </w:r>
    </w:p>
    <w:p w14:paraId="055DC0A3" w14:textId="77777777" w:rsidR="00EE0561" w:rsidRPr="00DF6FB1" w:rsidRDefault="00EE0561" w:rsidP="00EE0561">
      <w:pPr>
        <w:rPr>
          <w:szCs w:val="22"/>
        </w:rPr>
      </w:pPr>
      <w:r w:rsidRPr="00DF6FB1">
        <w:rPr>
          <w:szCs w:val="22"/>
        </w:rPr>
        <w:t>Testimony was provided in the following cases:</w:t>
      </w:r>
    </w:p>
    <w:p w14:paraId="78B3EE40" w14:textId="77777777" w:rsidR="00EE0561" w:rsidRPr="00DF6FB1" w:rsidRDefault="00AB0B6A" w:rsidP="00EE0561">
      <w:pPr>
        <w:pStyle w:val="ListParagraph"/>
        <w:numPr>
          <w:ilvl w:val="0"/>
          <w:numId w:val="1"/>
        </w:numPr>
        <w:rPr>
          <w:szCs w:val="22"/>
        </w:rPr>
      </w:pPr>
      <w:r>
        <w:rPr>
          <w:szCs w:val="22"/>
        </w:rPr>
        <w:t>Rate Case 95-010 Western Kentucky Gas</w:t>
      </w:r>
      <w:r>
        <w:rPr>
          <w:spacing w:val="-3"/>
          <w:szCs w:val="22"/>
        </w:rPr>
        <w:t xml:space="preserve"> </w:t>
      </w:r>
      <w:r>
        <w:rPr>
          <w:szCs w:val="22"/>
        </w:rPr>
        <w:t>Company</w:t>
      </w:r>
    </w:p>
    <w:p w14:paraId="29C80091" w14:textId="77777777" w:rsidR="00EE0561" w:rsidRPr="00DF6FB1" w:rsidRDefault="00AB0B6A" w:rsidP="00EE0561">
      <w:pPr>
        <w:pStyle w:val="ListParagraph"/>
        <w:numPr>
          <w:ilvl w:val="0"/>
          <w:numId w:val="1"/>
        </w:numPr>
        <w:rPr>
          <w:szCs w:val="22"/>
        </w:rPr>
      </w:pPr>
      <w:r>
        <w:rPr>
          <w:szCs w:val="22"/>
        </w:rPr>
        <w:t>Rate Case Greeley Gas</w:t>
      </w:r>
      <w:r>
        <w:rPr>
          <w:spacing w:val="-1"/>
          <w:szCs w:val="22"/>
        </w:rPr>
        <w:t xml:space="preserve"> </w:t>
      </w:r>
      <w:r>
        <w:rPr>
          <w:szCs w:val="22"/>
        </w:rPr>
        <w:t>Company</w:t>
      </w:r>
    </w:p>
    <w:p w14:paraId="78CA8321" w14:textId="77777777" w:rsidR="00EE0561" w:rsidRPr="00DF6FB1" w:rsidRDefault="00AB0B6A" w:rsidP="00EE0561">
      <w:pPr>
        <w:pStyle w:val="ListParagraph"/>
        <w:numPr>
          <w:ilvl w:val="0"/>
          <w:numId w:val="1"/>
        </w:numPr>
        <w:rPr>
          <w:szCs w:val="22"/>
        </w:rPr>
      </w:pPr>
      <w:r>
        <w:rPr>
          <w:szCs w:val="22"/>
        </w:rPr>
        <w:t>Rate Case 93I-701G Greeley Gas</w:t>
      </w:r>
      <w:r>
        <w:rPr>
          <w:spacing w:val="-1"/>
          <w:szCs w:val="22"/>
        </w:rPr>
        <w:t xml:space="preserve"> </w:t>
      </w:r>
      <w:r>
        <w:rPr>
          <w:szCs w:val="22"/>
        </w:rPr>
        <w:t>Company</w:t>
      </w:r>
    </w:p>
    <w:p w14:paraId="0C157BA2" w14:textId="77777777" w:rsidR="00EE0561" w:rsidRPr="00DF6FB1" w:rsidRDefault="00AB0B6A" w:rsidP="00EE0561">
      <w:pPr>
        <w:pStyle w:val="ListParagraph"/>
        <w:numPr>
          <w:ilvl w:val="0"/>
          <w:numId w:val="1"/>
        </w:numPr>
        <w:rPr>
          <w:szCs w:val="22"/>
        </w:rPr>
      </w:pPr>
      <w:r>
        <w:rPr>
          <w:szCs w:val="22"/>
        </w:rPr>
        <w:t xml:space="preserve">Rate CaseU-17779 </w:t>
      </w:r>
      <w:proofErr w:type="spellStart"/>
      <w:r>
        <w:rPr>
          <w:szCs w:val="22"/>
        </w:rPr>
        <w:t>Translouisiana</w:t>
      </w:r>
      <w:proofErr w:type="spellEnd"/>
      <w:r>
        <w:rPr>
          <w:szCs w:val="22"/>
        </w:rPr>
        <w:t xml:space="preserve"> Gas</w:t>
      </w:r>
      <w:r>
        <w:rPr>
          <w:spacing w:val="-4"/>
          <w:szCs w:val="22"/>
        </w:rPr>
        <w:t xml:space="preserve"> </w:t>
      </w:r>
      <w:r>
        <w:rPr>
          <w:szCs w:val="22"/>
        </w:rPr>
        <w:t>Company</w:t>
      </w:r>
    </w:p>
    <w:p w14:paraId="2F34A608" w14:textId="77777777" w:rsidR="00EE0561" w:rsidRPr="00DF6FB1" w:rsidRDefault="00AB0B6A" w:rsidP="00EE0561">
      <w:pPr>
        <w:pStyle w:val="ListParagraph"/>
        <w:numPr>
          <w:ilvl w:val="0"/>
          <w:numId w:val="1"/>
        </w:numPr>
        <w:rPr>
          <w:szCs w:val="22"/>
        </w:rPr>
      </w:pPr>
      <w:r>
        <w:rPr>
          <w:szCs w:val="22"/>
        </w:rPr>
        <w:t>Admin. Case 346 Western Kentucky Gas</w:t>
      </w:r>
      <w:r>
        <w:rPr>
          <w:spacing w:val="-6"/>
          <w:szCs w:val="22"/>
        </w:rPr>
        <w:t xml:space="preserve"> </w:t>
      </w:r>
      <w:r>
        <w:rPr>
          <w:szCs w:val="22"/>
        </w:rPr>
        <w:t>Company</w:t>
      </w:r>
    </w:p>
    <w:p w14:paraId="11D252E2" w14:textId="77777777" w:rsidR="00EE0561" w:rsidRPr="00DF6FB1" w:rsidRDefault="00AB0B6A" w:rsidP="00EE0561">
      <w:pPr>
        <w:pStyle w:val="ListParagraph"/>
        <w:numPr>
          <w:ilvl w:val="0"/>
          <w:numId w:val="1"/>
        </w:numPr>
        <w:rPr>
          <w:szCs w:val="22"/>
        </w:rPr>
      </w:pPr>
      <w:r>
        <w:rPr>
          <w:szCs w:val="22"/>
        </w:rPr>
        <w:t>Rate Case92-558 Western Kentucky Gas</w:t>
      </w:r>
      <w:r>
        <w:rPr>
          <w:spacing w:val="-6"/>
          <w:szCs w:val="22"/>
        </w:rPr>
        <w:t xml:space="preserve"> </w:t>
      </w:r>
      <w:r>
        <w:rPr>
          <w:szCs w:val="22"/>
        </w:rPr>
        <w:t>Company</w:t>
      </w:r>
    </w:p>
    <w:p w14:paraId="4CC250A3" w14:textId="77777777" w:rsidR="00EE0561" w:rsidRPr="00DF6FB1" w:rsidRDefault="00AB0B6A" w:rsidP="00EE0561">
      <w:pPr>
        <w:pStyle w:val="ListParagraph"/>
        <w:numPr>
          <w:ilvl w:val="0"/>
          <w:numId w:val="1"/>
        </w:numPr>
        <w:rPr>
          <w:szCs w:val="22"/>
        </w:rPr>
      </w:pPr>
      <w:r>
        <w:rPr>
          <w:szCs w:val="22"/>
        </w:rPr>
        <w:t xml:space="preserve">U-19631 </w:t>
      </w:r>
      <w:proofErr w:type="spellStart"/>
      <w:r>
        <w:rPr>
          <w:szCs w:val="22"/>
        </w:rPr>
        <w:t>Translouisiana</w:t>
      </w:r>
      <w:proofErr w:type="spellEnd"/>
      <w:r>
        <w:rPr>
          <w:szCs w:val="22"/>
        </w:rPr>
        <w:t xml:space="preserve"> Gas</w:t>
      </w:r>
      <w:r>
        <w:rPr>
          <w:spacing w:val="-4"/>
          <w:szCs w:val="22"/>
        </w:rPr>
        <w:t xml:space="preserve"> </w:t>
      </w:r>
      <w:r>
        <w:rPr>
          <w:szCs w:val="22"/>
        </w:rPr>
        <w:t>Company</w:t>
      </w:r>
    </w:p>
    <w:p w14:paraId="559C6151" w14:textId="77777777" w:rsidR="00EE0561" w:rsidRPr="00DF6FB1" w:rsidRDefault="00AB0B6A" w:rsidP="00EE0561">
      <w:pPr>
        <w:pStyle w:val="ListParagraph"/>
        <w:numPr>
          <w:ilvl w:val="0"/>
          <w:numId w:val="1"/>
        </w:numPr>
        <w:rPr>
          <w:szCs w:val="22"/>
        </w:rPr>
      </w:pPr>
      <w:r>
        <w:rPr>
          <w:szCs w:val="22"/>
        </w:rPr>
        <w:t xml:space="preserve">Rate Case8122 &amp; 8205 </w:t>
      </w:r>
      <w:proofErr w:type="spellStart"/>
      <w:r>
        <w:rPr>
          <w:szCs w:val="22"/>
        </w:rPr>
        <w:t>Energas</w:t>
      </w:r>
      <w:proofErr w:type="spellEnd"/>
      <w:r>
        <w:rPr>
          <w:spacing w:val="-3"/>
          <w:szCs w:val="22"/>
        </w:rPr>
        <w:t xml:space="preserve"> </w:t>
      </w:r>
      <w:r>
        <w:rPr>
          <w:szCs w:val="22"/>
        </w:rPr>
        <w:t>Company</w:t>
      </w:r>
    </w:p>
    <w:p w14:paraId="6B4E540A" w14:textId="77777777" w:rsidR="00EE0561" w:rsidRPr="00DF6FB1" w:rsidRDefault="00AB0B6A" w:rsidP="00EE0561">
      <w:pPr>
        <w:pStyle w:val="ListParagraph"/>
        <w:numPr>
          <w:ilvl w:val="0"/>
          <w:numId w:val="1"/>
        </w:numPr>
        <w:rPr>
          <w:szCs w:val="22"/>
        </w:rPr>
      </w:pPr>
      <w:r>
        <w:rPr>
          <w:szCs w:val="22"/>
        </w:rPr>
        <w:t>Rehearing90-013 Western Kentucky Gas</w:t>
      </w:r>
      <w:r>
        <w:rPr>
          <w:spacing w:val="-3"/>
          <w:szCs w:val="22"/>
        </w:rPr>
        <w:t xml:space="preserve"> </w:t>
      </w:r>
      <w:r>
        <w:rPr>
          <w:szCs w:val="22"/>
        </w:rPr>
        <w:t>Company</w:t>
      </w:r>
    </w:p>
    <w:p w14:paraId="36FAE7E3" w14:textId="77777777" w:rsidR="00EE0561" w:rsidRPr="00DF6FB1" w:rsidRDefault="00AB0B6A" w:rsidP="00EE0561">
      <w:pPr>
        <w:pStyle w:val="ListParagraph"/>
        <w:numPr>
          <w:ilvl w:val="0"/>
          <w:numId w:val="1"/>
        </w:numPr>
        <w:rPr>
          <w:szCs w:val="22"/>
        </w:rPr>
      </w:pPr>
      <w:r>
        <w:rPr>
          <w:szCs w:val="22"/>
        </w:rPr>
        <w:t>Rate Case90-013 Western Kentucky Gas</w:t>
      </w:r>
      <w:r>
        <w:rPr>
          <w:spacing w:val="-13"/>
          <w:szCs w:val="22"/>
        </w:rPr>
        <w:t xml:space="preserve"> </w:t>
      </w:r>
      <w:r>
        <w:rPr>
          <w:szCs w:val="22"/>
        </w:rPr>
        <w:t>Company</w:t>
      </w:r>
    </w:p>
    <w:p w14:paraId="529ECACD" w14:textId="77777777" w:rsidR="00EE0561" w:rsidRPr="00DF6FB1" w:rsidRDefault="00AB0B6A" w:rsidP="00EE0561">
      <w:pPr>
        <w:pStyle w:val="ListParagraph"/>
        <w:numPr>
          <w:ilvl w:val="0"/>
          <w:numId w:val="1"/>
        </w:numPr>
        <w:rPr>
          <w:szCs w:val="22"/>
        </w:rPr>
      </w:pPr>
      <w:r>
        <w:rPr>
          <w:szCs w:val="22"/>
        </w:rPr>
        <w:t>Admin Case 327 Western Kentucky Gas</w:t>
      </w:r>
      <w:r>
        <w:rPr>
          <w:spacing w:val="-12"/>
          <w:szCs w:val="22"/>
        </w:rPr>
        <w:t xml:space="preserve"> </w:t>
      </w:r>
      <w:r>
        <w:rPr>
          <w:szCs w:val="22"/>
        </w:rPr>
        <w:t>Company</w:t>
      </w:r>
    </w:p>
    <w:p w14:paraId="30D7046C" w14:textId="77777777" w:rsidR="00EE0561" w:rsidRPr="00DF6FB1" w:rsidRDefault="00AB0B6A" w:rsidP="00EE0561">
      <w:pPr>
        <w:pStyle w:val="ListParagraph"/>
        <w:numPr>
          <w:ilvl w:val="0"/>
          <w:numId w:val="1"/>
        </w:numPr>
        <w:rPr>
          <w:szCs w:val="22"/>
        </w:rPr>
      </w:pPr>
      <w:r>
        <w:rPr>
          <w:szCs w:val="22"/>
        </w:rPr>
        <w:t>FERC RP85-209 United Gas Pipe Line</w:t>
      </w:r>
      <w:r>
        <w:rPr>
          <w:spacing w:val="-9"/>
          <w:szCs w:val="22"/>
        </w:rPr>
        <w:t xml:space="preserve"> </w:t>
      </w:r>
      <w:r>
        <w:rPr>
          <w:szCs w:val="22"/>
        </w:rPr>
        <w:t>Company</w:t>
      </w:r>
    </w:p>
    <w:p w14:paraId="43D176EE" w14:textId="77777777" w:rsidR="00EE0561" w:rsidRPr="00DF6FB1" w:rsidRDefault="00AB0B6A" w:rsidP="00EE0561">
      <w:pPr>
        <w:pStyle w:val="ListParagraph"/>
        <w:numPr>
          <w:ilvl w:val="0"/>
          <w:numId w:val="1"/>
        </w:numPr>
        <w:rPr>
          <w:szCs w:val="22"/>
        </w:rPr>
      </w:pPr>
      <w:r>
        <w:rPr>
          <w:szCs w:val="22"/>
        </w:rPr>
        <w:t>FERC RP85-167 Sea Robin Pipeline Company</w:t>
      </w:r>
      <w:r>
        <w:rPr>
          <w:szCs w:val="22"/>
        </w:rPr>
        <w:br/>
      </w:r>
    </w:p>
    <w:p w14:paraId="55CC5E2E" w14:textId="77777777" w:rsidR="00EE0561" w:rsidRPr="00DF6FB1" w:rsidRDefault="00156371" w:rsidP="00677A3C">
      <w:pPr>
        <w:spacing w:after="0"/>
        <w:ind w:left="280" w:hanging="280"/>
        <w:rPr>
          <w:b/>
          <w:szCs w:val="22"/>
        </w:rPr>
      </w:pPr>
      <w:r w:rsidRPr="00156371">
        <w:rPr>
          <w:b/>
          <w:szCs w:val="22"/>
        </w:rPr>
        <w:t>PUBLICATIONS</w:t>
      </w:r>
    </w:p>
    <w:p w14:paraId="1C45DCC3" w14:textId="77777777" w:rsidR="00EE0561" w:rsidRPr="00DF6FB1" w:rsidRDefault="00EE0561" w:rsidP="00677A3C">
      <w:pPr>
        <w:spacing w:before="1" w:after="0"/>
        <w:ind w:left="280"/>
        <w:rPr>
          <w:szCs w:val="22"/>
        </w:rPr>
      </w:pPr>
      <w:r w:rsidRPr="00DF6FB1">
        <w:rPr>
          <w:b/>
          <w:i/>
          <w:szCs w:val="22"/>
        </w:rPr>
        <w:t>Pipeline &amp; Gas Journal</w:t>
      </w:r>
      <w:r w:rsidRPr="00DF6FB1">
        <w:rPr>
          <w:szCs w:val="22"/>
        </w:rPr>
        <w:t>: Article published January 2000.</w:t>
      </w:r>
    </w:p>
    <w:p w14:paraId="3F32D458" w14:textId="77777777" w:rsidR="00677A3C" w:rsidRDefault="00677A3C" w:rsidP="00677A3C">
      <w:pPr>
        <w:spacing w:after="0"/>
        <w:ind w:left="280" w:hanging="280"/>
        <w:rPr>
          <w:b/>
          <w:szCs w:val="22"/>
        </w:rPr>
      </w:pPr>
    </w:p>
    <w:p w14:paraId="1C0913F4" w14:textId="77777777" w:rsidR="00EE0561" w:rsidRPr="00DF6FB1" w:rsidRDefault="00156371" w:rsidP="00677A3C">
      <w:pPr>
        <w:spacing w:after="0"/>
        <w:ind w:left="280" w:hanging="280"/>
        <w:rPr>
          <w:b/>
          <w:szCs w:val="22"/>
        </w:rPr>
      </w:pPr>
      <w:r w:rsidRPr="00156371">
        <w:rPr>
          <w:b/>
          <w:szCs w:val="22"/>
        </w:rPr>
        <w:t>EDUCATION</w:t>
      </w:r>
    </w:p>
    <w:p w14:paraId="234F4545" w14:textId="77777777" w:rsidR="00156371" w:rsidRDefault="00EE0561" w:rsidP="00156371">
      <w:pPr>
        <w:spacing w:after="0"/>
        <w:ind w:left="270"/>
        <w:rPr>
          <w:szCs w:val="22"/>
        </w:rPr>
      </w:pPr>
      <w:r w:rsidRPr="00DF6FB1">
        <w:rPr>
          <w:szCs w:val="22"/>
        </w:rPr>
        <w:t xml:space="preserve">MBA Harvard Business School - Boston, Massachusetts </w:t>
      </w:r>
      <w:r w:rsidRPr="00DF6FB1">
        <w:rPr>
          <w:szCs w:val="22"/>
        </w:rPr>
        <w:br/>
        <w:t>BA University of Wisconsin-Milwaukee</w:t>
      </w:r>
    </w:p>
    <w:p w14:paraId="33212270" w14:textId="77777777" w:rsidR="00677A3C" w:rsidRDefault="00677A3C" w:rsidP="00677A3C">
      <w:pPr>
        <w:spacing w:after="0"/>
        <w:ind w:left="280" w:hanging="280"/>
        <w:rPr>
          <w:b/>
          <w:szCs w:val="22"/>
        </w:rPr>
      </w:pPr>
    </w:p>
    <w:p w14:paraId="1932E946" w14:textId="77777777" w:rsidR="00EE0561" w:rsidRPr="00DF6FB1" w:rsidRDefault="00156371" w:rsidP="00677A3C">
      <w:pPr>
        <w:spacing w:after="0"/>
        <w:ind w:left="280" w:hanging="280"/>
        <w:rPr>
          <w:b/>
          <w:szCs w:val="22"/>
        </w:rPr>
      </w:pPr>
      <w:r w:rsidRPr="00156371">
        <w:rPr>
          <w:b/>
          <w:szCs w:val="22"/>
        </w:rPr>
        <w:t>PROFESSIONAL AFFILIATIONS AND HONORS</w:t>
      </w:r>
    </w:p>
    <w:p w14:paraId="512BD9F3" w14:textId="77777777" w:rsidR="00156371" w:rsidRDefault="00EE0561" w:rsidP="00156371">
      <w:pPr>
        <w:spacing w:after="0"/>
        <w:ind w:left="270"/>
        <w:rPr>
          <w:szCs w:val="22"/>
        </w:rPr>
      </w:pPr>
      <w:r w:rsidRPr="00DF6FB1">
        <w:rPr>
          <w:szCs w:val="22"/>
        </w:rPr>
        <w:t xml:space="preserve">Board member for </w:t>
      </w:r>
      <w:r w:rsidR="00AB0B6A">
        <w:rPr>
          <w:szCs w:val="22"/>
        </w:rPr>
        <w:t>not-for-profit associations including the Harvard Business School Club of Dallas. Advised &amp; developed professional education programs for</w:t>
      </w:r>
      <w:r w:rsidR="00677A3C">
        <w:rPr>
          <w:szCs w:val="22"/>
        </w:rPr>
        <w:t xml:space="preserve"> </w:t>
      </w:r>
      <w:r w:rsidR="00AB0B6A">
        <w:rPr>
          <w:szCs w:val="22"/>
        </w:rPr>
        <w:t>the Southern Gas Association.</w:t>
      </w:r>
    </w:p>
    <w:p w14:paraId="1A552FF9" w14:textId="77777777" w:rsidR="00EE0561" w:rsidRPr="00DF6FB1" w:rsidRDefault="00156371" w:rsidP="00677A3C">
      <w:pPr>
        <w:ind w:left="280" w:hanging="280"/>
        <w:rPr>
          <w:b/>
          <w:szCs w:val="22"/>
        </w:rPr>
      </w:pPr>
      <w:r w:rsidRPr="00156371">
        <w:rPr>
          <w:b/>
          <w:szCs w:val="22"/>
        </w:rPr>
        <w:t>SPEAKER AT INDUSTRY CONFERENCES:</w:t>
      </w:r>
    </w:p>
    <w:p w14:paraId="511E1E20" w14:textId="77777777" w:rsidR="00EE0561" w:rsidRPr="00DF6FB1" w:rsidRDefault="00677A3C" w:rsidP="00677A3C">
      <w:pPr>
        <w:tabs>
          <w:tab w:val="clear" w:pos="720"/>
          <w:tab w:val="left" w:pos="270"/>
        </w:tabs>
        <w:spacing w:after="0"/>
        <w:rPr>
          <w:szCs w:val="22"/>
        </w:rPr>
      </w:pPr>
      <w:r>
        <w:rPr>
          <w:szCs w:val="22"/>
        </w:rPr>
        <w:tab/>
      </w:r>
      <w:r w:rsidR="00EE0561" w:rsidRPr="00DF6FB1">
        <w:rPr>
          <w:szCs w:val="22"/>
        </w:rPr>
        <w:t>Southeast Regulatory Utility Commissioners Annual Conference (Panel moderator)</w:t>
      </w:r>
    </w:p>
    <w:p w14:paraId="0B769416" w14:textId="77777777" w:rsidR="00677A3C" w:rsidRDefault="00677A3C" w:rsidP="00677A3C">
      <w:pPr>
        <w:spacing w:after="0"/>
        <w:ind w:left="270"/>
        <w:rPr>
          <w:szCs w:val="22"/>
        </w:rPr>
      </w:pPr>
    </w:p>
    <w:p w14:paraId="5F1BB707" w14:textId="77777777" w:rsidR="00EE0561" w:rsidRPr="00DF6FB1" w:rsidRDefault="00AB0B6A" w:rsidP="00677A3C">
      <w:pPr>
        <w:spacing w:after="0"/>
        <w:ind w:left="270"/>
        <w:rPr>
          <w:szCs w:val="22"/>
        </w:rPr>
      </w:pPr>
      <w:r>
        <w:rPr>
          <w:szCs w:val="22"/>
        </w:rPr>
        <w:t>Mid-America Regulatory Utility Commissioners Annual Conference (Panel member addressing mergers and acquisitions in the industry)</w:t>
      </w:r>
    </w:p>
    <w:p w14:paraId="454979BC" w14:textId="77777777" w:rsidR="00677A3C" w:rsidRDefault="00677A3C" w:rsidP="00677A3C">
      <w:pPr>
        <w:spacing w:after="0"/>
        <w:ind w:left="270"/>
        <w:rPr>
          <w:szCs w:val="22"/>
        </w:rPr>
      </w:pPr>
    </w:p>
    <w:p w14:paraId="2ECFF43E" w14:textId="77777777" w:rsidR="00EE0561" w:rsidRPr="00DF6FB1" w:rsidRDefault="00AB0B6A" w:rsidP="00677A3C">
      <w:pPr>
        <w:spacing w:after="0"/>
        <w:ind w:left="270"/>
        <w:rPr>
          <w:szCs w:val="22"/>
        </w:rPr>
      </w:pPr>
      <w:r>
        <w:rPr>
          <w:szCs w:val="22"/>
        </w:rPr>
        <w:t>American Gas Cooling Association Annual Conference (Speaker on industry restructuring to conference at-large)</w:t>
      </w:r>
    </w:p>
    <w:p w14:paraId="7AD9CB48" w14:textId="77777777" w:rsidR="00EE0561" w:rsidRPr="00DF6FB1" w:rsidRDefault="00EE0561" w:rsidP="00677A3C">
      <w:pPr>
        <w:spacing w:after="0"/>
        <w:rPr>
          <w:szCs w:val="22"/>
        </w:rPr>
      </w:pPr>
    </w:p>
    <w:sectPr w:rsidR="00EE0561" w:rsidRPr="00DF6FB1" w:rsidSect="004A152B">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40A8" w14:textId="77777777" w:rsidR="005B2AB7" w:rsidRDefault="005B2AB7" w:rsidP="004A152B">
      <w:pPr>
        <w:spacing w:after="0"/>
      </w:pPr>
      <w:r>
        <w:separator/>
      </w:r>
    </w:p>
  </w:endnote>
  <w:endnote w:type="continuationSeparator" w:id="0">
    <w:p w14:paraId="6DF1AAAE" w14:textId="77777777" w:rsidR="005B2AB7" w:rsidRDefault="005B2AB7" w:rsidP="004A1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8846B" w14:textId="77777777" w:rsidR="005B2AB7" w:rsidRDefault="005B2AB7" w:rsidP="004A152B">
      <w:pPr>
        <w:spacing w:after="0"/>
      </w:pPr>
      <w:r>
        <w:separator/>
      </w:r>
    </w:p>
  </w:footnote>
  <w:footnote w:type="continuationSeparator" w:id="0">
    <w:p w14:paraId="6240E531" w14:textId="77777777" w:rsidR="005B2AB7" w:rsidRDefault="005B2AB7" w:rsidP="004A15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ajorBidi"/>
        <w:szCs w:val="22"/>
      </w:rPr>
      <w:alias w:val="Title"/>
      <w:id w:val="956215993"/>
      <w:showingPlcHdr/>
      <w:dataBinding w:prefixMappings="xmlns:ns0='http://schemas.openxmlformats.org/package/2006/metadata/core-properties' xmlns:ns1='http://purl.org/dc/elements/1.1/'" w:xpath="/ns0:coreProperties[1]/ns1:title[1]" w:storeItemID="{6C3C8BC8-F283-45AE-878A-BAB7291924A1}"/>
      <w:text/>
    </w:sdtPr>
    <w:sdtEndPr/>
    <w:sdtContent>
      <w:p w14:paraId="584FD608" w14:textId="77777777" w:rsidR="00E75D4F" w:rsidRDefault="00EE0561" w:rsidP="00400737">
        <w:pPr>
          <w:pStyle w:val="Header"/>
          <w:pBdr>
            <w:bottom w:val="thickThinSmallGap" w:sz="24" w:space="1" w:color="622423"/>
          </w:pBdr>
          <w:jc w:val="center"/>
          <w:rPr>
            <w:rFonts w:ascii="Arial" w:eastAsia="Calibri" w:hAnsi="Arial" w:cs="Arial"/>
            <w:bCs/>
            <w:sz w:val="24"/>
          </w:rPr>
        </w:pPr>
        <w:r>
          <w:rPr>
            <w:rFonts w:eastAsiaTheme="majorEastAsia" w:cstheme="majorBidi"/>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694E"/>
    <w:multiLevelType w:val="hybridMultilevel"/>
    <w:tmpl w:val="67F2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61"/>
    <w:rsid w:val="0003252B"/>
    <w:rsid w:val="00094733"/>
    <w:rsid w:val="00096276"/>
    <w:rsid w:val="0013672F"/>
    <w:rsid w:val="00156371"/>
    <w:rsid w:val="00263DBE"/>
    <w:rsid w:val="003D0B56"/>
    <w:rsid w:val="004A152B"/>
    <w:rsid w:val="005B2AB7"/>
    <w:rsid w:val="005E1B53"/>
    <w:rsid w:val="00651A50"/>
    <w:rsid w:val="006643FE"/>
    <w:rsid w:val="00677A3C"/>
    <w:rsid w:val="006A506D"/>
    <w:rsid w:val="00870952"/>
    <w:rsid w:val="00926316"/>
    <w:rsid w:val="00986695"/>
    <w:rsid w:val="009D702F"/>
    <w:rsid w:val="00AB0B6A"/>
    <w:rsid w:val="00AB7C7C"/>
    <w:rsid w:val="00C6058D"/>
    <w:rsid w:val="00C61886"/>
    <w:rsid w:val="00CD71E3"/>
    <w:rsid w:val="00DF6FB1"/>
    <w:rsid w:val="00ED3AA2"/>
    <w:rsid w:val="00EE0561"/>
    <w:rsid w:val="00F71400"/>
    <w:rsid w:val="00FE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F659"/>
  <w15:docId w15:val="{85C8E076-735C-4368-987C-1E00E1C8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61"/>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EE0561"/>
    <w:pPr>
      <w:keepNext/>
      <w:keepLines/>
      <w:spacing w:after="240" w:line="240" w:lineRule="auto"/>
      <w:outlineLvl w:val="2"/>
    </w:pPr>
    <w:rPr>
      <w:rFonts w:ascii="Arial" w:eastAsia="Times New Roman" w:hAnsi="Arial" w:cs="Times New Roman"/>
      <w:b/>
      <w:caps/>
      <w:sz w:val="24"/>
      <w:szCs w:val="24"/>
    </w:rPr>
  </w:style>
  <w:style w:type="paragraph" w:styleId="Heading4">
    <w:name w:val="heading 4"/>
    <w:next w:val="Normal"/>
    <w:link w:val="Heading4Char"/>
    <w:qFormat/>
    <w:rsid w:val="00EE0561"/>
    <w:pPr>
      <w:keepNext/>
      <w:keepLines/>
      <w:spacing w:after="240" w:line="240" w:lineRule="auto"/>
      <w:outlineLvl w:val="3"/>
    </w:pPr>
    <w:rPr>
      <w:rFonts w:ascii="Arial" w:eastAsia="Times New Roman" w:hAnsi="Arial" w:cs="Times New Roman"/>
      <w:b/>
      <w:sz w:val="24"/>
      <w:szCs w:val="24"/>
    </w:rPr>
  </w:style>
  <w:style w:type="paragraph" w:styleId="Heading5">
    <w:name w:val="heading 5"/>
    <w:next w:val="Normal"/>
    <w:link w:val="Heading5Char"/>
    <w:qFormat/>
    <w:rsid w:val="00EE0561"/>
    <w:pPr>
      <w:keepNext/>
      <w:keepLines/>
      <w:spacing w:after="240" w:line="240" w:lineRule="auto"/>
      <w:ind w:left="720"/>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EE0561"/>
    <w:rPr>
      <w:rFonts w:ascii="Arial" w:eastAsia="Times New Roman" w:hAnsi="Arial" w:cs="Times New Roman"/>
      <w:b/>
      <w:caps/>
      <w:sz w:val="24"/>
      <w:szCs w:val="24"/>
    </w:rPr>
  </w:style>
  <w:style w:type="character" w:customStyle="1" w:styleId="Heading4Char">
    <w:name w:val="Heading 4 Char"/>
    <w:basedOn w:val="DefaultParagraphFont"/>
    <w:link w:val="Heading4"/>
    <w:rsid w:val="00EE0561"/>
    <w:rPr>
      <w:rFonts w:ascii="Arial" w:eastAsia="Times New Roman" w:hAnsi="Arial" w:cs="Times New Roman"/>
      <w:b/>
      <w:sz w:val="24"/>
      <w:szCs w:val="24"/>
    </w:rPr>
  </w:style>
  <w:style w:type="character" w:customStyle="1" w:styleId="Heading5Char">
    <w:name w:val="Heading 5 Char"/>
    <w:basedOn w:val="DefaultParagraphFont"/>
    <w:link w:val="Heading5"/>
    <w:rsid w:val="00EE0561"/>
    <w:rPr>
      <w:rFonts w:ascii="Arial" w:eastAsia="Times New Roman" w:hAnsi="Arial" w:cs="Times New Roman"/>
      <w:b/>
      <w:sz w:val="24"/>
      <w:szCs w:val="24"/>
    </w:rPr>
  </w:style>
  <w:style w:type="paragraph" w:styleId="Header">
    <w:name w:val="header"/>
    <w:aliases w:val="HeaderforTofC"/>
    <w:basedOn w:val="Normal"/>
    <w:link w:val="HeaderChar"/>
    <w:uiPriority w:val="99"/>
    <w:rsid w:val="00EE0561"/>
    <w:pPr>
      <w:tabs>
        <w:tab w:val="clear" w:pos="720"/>
        <w:tab w:val="clear" w:pos="1080"/>
        <w:tab w:val="clear" w:pos="1440"/>
        <w:tab w:val="clear" w:pos="1800"/>
        <w:tab w:val="center" w:pos="4320"/>
        <w:tab w:val="right" w:pos="8640"/>
      </w:tabs>
    </w:pPr>
  </w:style>
  <w:style w:type="character" w:customStyle="1" w:styleId="HeaderChar">
    <w:name w:val="Header Char"/>
    <w:aliases w:val="HeaderforTofC Char"/>
    <w:basedOn w:val="DefaultParagraphFont"/>
    <w:link w:val="Header"/>
    <w:uiPriority w:val="99"/>
    <w:rsid w:val="00EE0561"/>
    <w:rPr>
      <w:rFonts w:ascii="Book Antiqua" w:eastAsia="Times New Roman" w:hAnsi="Book Antiqua" w:cs="Times New Roman"/>
      <w:szCs w:val="24"/>
    </w:rPr>
  </w:style>
  <w:style w:type="paragraph" w:styleId="BodyText">
    <w:name w:val="Body Text"/>
    <w:basedOn w:val="Normal"/>
    <w:link w:val="BodyTextChar"/>
    <w:rsid w:val="00EE0561"/>
    <w:pPr>
      <w:tabs>
        <w:tab w:val="clear" w:pos="720"/>
        <w:tab w:val="clear" w:pos="1080"/>
        <w:tab w:val="clear" w:pos="1440"/>
        <w:tab w:val="clear" w:pos="1800"/>
      </w:tabs>
      <w:spacing w:after="120"/>
    </w:pPr>
    <w:rPr>
      <w:rFonts w:ascii="Times New Roman" w:hAnsi="Times New Roman"/>
      <w:sz w:val="20"/>
    </w:rPr>
  </w:style>
  <w:style w:type="character" w:customStyle="1" w:styleId="BodyTextChar">
    <w:name w:val="Body Text Char"/>
    <w:basedOn w:val="DefaultParagraphFont"/>
    <w:link w:val="BodyText"/>
    <w:rsid w:val="00EE0561"/>
    <w:rPr>
      <w:rFonts w:ascii="Times New Roman" w:eastAsia="Times New Roman" w:hAnsi="Times New Roman" w:cs="Times New Roman"/>
      <w:sz w:val="20"/>
      <w:szCs w:val="24"/>
    </w:rPr>
  </w:style>
  <w:style w:type="paragraph" w:styleId="ListParagraph">
    <w:name w:val="List Paragraph"/>
    <w:basedOn w:val="Normal"/>
    <w:link w:val="ListParagraphChar"/>
    <w:uiPriority w:val="1"/>
    <w:qFormat/>
    <w:rsid w:val="00EE0561"/>
    <w:pPr>
      <w:ind w:left="720"/>
      <w:contextualSpacing/>
    </w:pPr>
  </w:style>
  <w:style w:type="character" w:customStyle="1" w:styleId="ListParagraphChar">
    <w:name w:val="List Paragraph Char"/>
    <w:basedOn w:val="DefaultParagraphFont"/>
    <w:link w:val="ListParagraph"/>
    <w:uiPriority w:val="1"/>
    <w:rsid w:val="00EE0561"/>
    <w:rPr>
      <w:rFonts w:ascii="Book Antiqua" w:eastAsia="Times New Roman" w:hAnsi="Book Antiqua" w:cs="Times New Roman"/>
      <w:szCs w:val="24"/>
    </w:rPr>
  </w:style>
  <w:style w:type="paragraph" w:styleId="BalloonText">
    <w:name w:val="Balloon Text"/>
    <w:basedOn w:val="Normal"/>
    <w:link w:val="BalloonTextChar"/>
    <w:uiPriority w:val="99"/>
    <w:semiHidden/>
    <w:unhideWhenUsed/>
    <w:rsid w:val="00AB7C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C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Gormley</dc:creator>
  <cp:lastModifiedBy>Jean Gormley</cp:lastModifiedBy>
  <cp:revision>2</cp:revision>
  <dcterms:created xsi:type="dcterms:W3CDTF">2020-05-13T22:28:00Z</dcterms:created>
  <dcterms:modified xsi:type="dcterms:W3CDTF">2020-05-13T22:28:00Z</dcterms:modified>
</cp:coreProperties>
</file>