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Toc24640610"/>
      <w:r>
        <w:t>Resume of Mr. James Habberfield</w:t>
      </w:r>
      <w:bookmarkEnd w:id="0"/>
    </w:p>
    <w:p>
      <w:pPr>
        <w:pStyle w:val="2"/>
      </w:pPr>
      <w:bookmarkStart w:id="1" w:name="_Toc474327209"/>
      <w:bookmarkStart w:id="2" w:name="_Toc24548392"/>
      <w:bookmarkStart w:id="3" w:name="_Toc510603441"/>
      <w:bookmarkStart w:id="4" w:name="_Toc24550447"/>
      <w:bookmarkStart w:id="5" w:name="_Toc24625487"/>
      <w:bookmarkStart w:id="6" w:name="_Toc24627575"/>
      <w:bookmarkStart w:id="7" w:name="_Toc24627969"/>
      <w:bookmarkStart w:id="8" w:name="_Toc474390666"/>
      <w:bookmarkStart w:id="9" w:name="_Toc24483381"/>
      <w:bookmarkStart w:id="10" w:name="_Toc474347733"/>
      <w:bookmarkStart w:id="11" w:name="_Toc24627364"/>
      <w:bookmarkStart w:id="12" w:name="_Toc24640611"/>
      <w:bookmarkStart w:id="13" w:name="_Toc474395469"/>
      <w:bookmarkStart w:id="14" w:name="_Toc24626874"/>
      <w:bookmarkStart w:id="15" w:name="_Toc462032489"/>
      <w:bookmarkStart w:id="16" w:name="_Toc409644503"/>
      <w:bookmarkStart w:id="17" w:name="_Toc450047592"/>
      <w:bookmarkStart w:id="18" w:name="_Toc461964362"/>
      <w:bookmarkStart w:id="19" w:name="_Toc462048107"/>
      <w:bookmarkStart w:id="20" w:name="_Toc462048322"/>
      <w:bookmarkStart w:id="21" w:name="_Toc409653985"/>
      <w:bookmarkStart w:id="22" w:name="_Toc449961123"/>
      <w:bookmarkStart w:id="23" w:name="_Toc450016207"/>
      <w:bookmarkStart w:id="24" w:name="_Toc450029560"/>
      <w:bookmarkStart w:id="25" w:name="_Toc461942653"/>
      <w:bookmarkStart w:id="26" w:name="_Toc461991461"/>
      <w:bookmarkStart w:id="27" w:name="_Toc462029198"/>
      <w:bookmarkStart w:id="28" w:name="_Toc409644066"/>
      <w:r>
        <w:t>RELEVANT CREDENTIALS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rPr>
          <w:szCs w:val="22"/>
        </w:rPr>
      </w:pPr>
      <w:bookmarkStart w:id="29" w:name="_Toc462032490"/>
      <w:bookmarkStart w:id="30" w:name="_Toc461991462"/>
      <w:bookmarkStart w:id="31" w:name="_Toc474327210"/>
      <w:bookmarkStart w:id="32" w:name="_Toc461942654"/>
      <w:bookmarkStart w:id="33" w:name="_Toc461964363"/>
      <w:bookmarkStart w:id="34" w:name="_Toc450029561"/>
      <w:bookmarkStart w:id="35" w:name="_Toc462048108"/>
      <w:bookmarkStart w:id="36" w:name="_Toc462048323"/>
      <w:bookmarkStart w:id="37" w:name="_Toc450047593"/>
      <w:bookmarkStart w:id="38" w:name="_Toc462029199"/>
      <w:bookmarkStart w:id="39" w:name="_Toc409653986"/>
      <w:bookmarkStart w:id="40" w:name="_Toc449961124"/>
      <w:bookmarkStart w:id="41" w:name="_Toc450016208"/>
      <w:bookmarkStart w:id="42" w:name="_Toc409644067"/>
      <w:bookmarkStart w:id="43" w:name="_Toc409644504"/>
      <w:bookmarkStart w:id="44" w:name="_Toc474390667"/>
      <w:bookmarkStart w:id="45" w:name="_Toc474347734"/>
      <w:bookmarkStart w:id="46" w:name="_Toc474395470"/>
      <w:bookmarkStart w:id="47" w:name="_Toc372270528"/>
      <w:bookmarkStart w:id="48" w:name="_Toc376116881"/>
      <w:bookmarkStart w:id="49" w:name="_Toc372260038"/>
      <w:bookmarkStart w:id="50" w:name="_Toc372102170"/>
      <w:bookmarkStart w:id="51" w:name="_Toc372102368"/>
      <w:bookmarkStart w:id="52" w:name="_Toc372103876"/>
      <w:bookmarkStart w:id="53" w:name="_Toc372191669"/>
      <w:bookmarkStart w:id="54" w:name="_Hlk24482330"/>
      <w:r>
        <w:rPr>
          <w:szCs w:val="22"/>
        </w:rPr>
        <w:t xml:space="preserve">Experienced </w:t>
      </w:r>
      <w:r>
        <w:rPr>
          <w:b/>
          <w:szCs w:val="22"/>
        </w:rPr>
        <w:t xml:space="preserve">Energy Consultant and Executive </w:t>
      </w:r>
      <w:r>
        <w:rPr>
          <w:szCs w:val="22"/>
        </w:rPr>
        <w:t xml:space="preserve">with a demonstrated history of </w:t>
      </w:r>
      <w:r>
        <w:rPr>
          <w:b/>
          <w:szCs w:val="22"/>
        </w:rPr>
        <w:t xml:space="preserve">managing energy </w:t>
      </w:r>
      <w:r>
        <w:rPr>
          <w:szCs w:val="22"/>
        </w:rPr>
        <w:t xml:space="preserve">portfolios and trading, working with distributed generation and renewable energy, and leading complex regulatory programs. Demonstrated history of working with utilities, stakeholders, and public interest groups, and leading energy innovation. Strong </w:t>
      </w:r>
      <w:r>
        <w:rPr>
          <w:b/>
          <w:szCs w:val="22"/>
        </w:rPr>
        <w:t xml:space="preserve">Business Development and Project Management </w:t>
      </w:r>
      <w:r>
        <w:rPr>
          <w:szCs w:val="22"/>
        </w:rPr>
        <w:t>background with a passion for energy and emerging energy</w:t>
      </w:r>
      <w:r>
        <w:rPr>
          <w:spacing w:val="-6"/>
          <w:szCs w:val="22"/>
        </w:rPr>
        <w:t xml:space="preserve"> </w:t>
      </w:r>
      <w:r>
        <w:rPr>
          <w:szCs w:val="22"/>
        </w:rPr>
        <w:t>technologies.</w:t>
      </w:r>
    </w:p>
    <w:p>
      <w:pPr>
        <w:pStyle w:val="2"/>
      </w:pPr>
      <w:bookmarkStart w:id="55" w:name="_Toc24627970"/>
      <w:bookmarkStart w:id="56" w:name="_Toc24548393"/>
      <w:bookmarkStart w:id="57" w:name="_Toc24627576"/>
      <w:bookmarkStart w:id="58" w:name="_Toc24626875"/>
      <w:bookmarkStart w:id="59" w:name="_Toc24640612"/>
      <w:bookmarkStart w:id="60" w:name="_Toc24483382"/>
      <w:bookmarkStart w:id="61" w:name="_Toc24550448"/>
      <w:bookmarkStart w:id="62" w:name="_Toc24625488"/>
      <w:bookmarkStart w:id="63" w:name="_Toc24627365"/>
      <w:bookmarkStart w:id="64" w:name="_Toc510603442"/>
      <w:r>
        <w:t xml:space="preserve">SELECTED </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t>Energy Industry Expertise</w:t>
      </w:r>
      <w:bookmarkEnd w:id="55"/>
      <w:bookmarkEnd w:id="56"/>
      <w:bookmarkEnd w:id="57"/>
      <w:bookmarkEnd w:id="58"/>
      <w:bookmarkEnd w:id="59"/>
      <w:bookmarkEnd w:id="60"/>
      <w:bookmarkEnd w:id="61"/>
      <w:bookmarkEnd w:id="62"/>
      <w:bookmarkEnd w:id="63"/>
      <w:bookmarkEnd w:id="64"/>
    </w:p>
    <w:bookmarkEnd w:id="47"/>
    <w:bookmarkEnd w:id="48"/>
    <w:bookmarkEnd w:id="49"/>
    <w:bookmarkEnd w:id="50"/>
    <w:bookmarkEnd w:id="51"/>
    <w:bookmarkEnd w:id="52"/>
    <w:bookmarkEnd w:id="53"/>
    <w:p>
      <w:pPr>
        <w:pStyle w:val="8"/>
        <w:spacing w:after="120"/>
        <w:ind w:left="1080" w:right="0"/>
      </w:pPr>
      <w:r>
        <w:t>Extensive energy industry knowledge, including state regulations, Public Utility Commission filings and approval processes, regional and national energy market rules and standards, and federal energy regulation and</w:t>
      </w:r>
      <w:r>
        <w:rPr>
          <w:spacing w:val="-5"/>
        </w:rPr>
        <w:t xml:space="preserve"> </w:t>
      </w:r>
      <w:r>
        <w:t>legislation.</w:t>
      </w:r>
    </w:p>
    <w:p>
      <w:pPr>
        <w:pStyle w:val="8"/>
        <w:spacing w:after="120"/>
        <w:ind w:left="1080" w:right="0"/>
      </w:pPr>
      <w:r>
        <w:t>Leading Regulatory Filings and Project Management, heading compliance efforts, and designing and implementing innovative energy</w:t>
      </w:r>
      <w:r>
        <w:rPr>
          <w:spacing w:val="-5"/>
        </w:rPr>
        <w:t xml:space="preserve"> </w:t>
      </w:r>
      <w:r>
        <w:t>programs.</w:t>
      </w:r>
    </w:p>
    <w:p>
      <w:pPr>
        <w:pStyle w:val="8"/>
        <w:spacing w:after="120"/>
        <w:ind w:left="1080" w:right="0"/>
      </w:pPr>
      <w:r>
        <w:t>Served on industry committees such as PJM, NERC, and Pennsylvania state</w:t>
      </w:r>
      <w:r>
        <w:rPr>
          <w:spacing w:val="-21"/>
        </w:rPr>
        <w:t xml:space="preserve"> </w:t>
      </w:r>
      <w:r>
        <w:t>collaboratives.</w:t>
      </w:r>
    </w:p>
    <w:p>
      <w:pPr>
        <w:pStyle w:val="8"/>
        <w:spacing w:after="120"/>
        <w:ind w:left="1080" w:right="0"/>
      </w:pPr>
      <w:r>
        <w:t>Worked in wholesale and retail markets, including pricing, trading, and program</w:t>
      </w:r>
      <w:r>
        <w:rPr>
          <w:spacing w:val="-18"/>
        </w:rPr>
        <w:t xml:space="preserve"> </w:t>
      </w:r>
      <w:r>
        <w:t>design.</w:t>
      </w:r>
    </w:p>
    <w:p>
      <w:pPr>
        <w:pStyle w:val="3"/>
      </w:pPr>
      <w:bookmarkStart w:id="65" w:name="_Toc24640613"/>
      <w:bookmarkStart w:id="66" w:name="_Toc24626876"/>
      <w:bookmarkStart w:id="67" w:name="_Toc24627577"/>
      <w:bookmarkStart w:id="68" w:name="_Toc24483383"/>
      <w:bookmarkStart w:id="69" w:name="_Toc24625489"/>
      <w:bookmarkStart w:id="70" w:name="_Toc24550449"/>
      <w:bookmarkStart w:id="71" w:name="_Toc24627366"/>
      <w:bookmarkStart w:id="72" w:name="_Toc24627971"/>
      <w:bookmarkStart w:id="73" w:name="_Toc510603443"/>
      <w:bookmarkStart w:id="74" w:name="_Toc24548394"/>
      <w:r>
        <w:t>Energy Market Trading and Portfolio Risk Management</w:t>
      </w:r>
      <w:bookmarkEnd w:id="65"/>
      <w:bookmarkEnd w:id="66"/>
      <w:bookmarkEnd w:id="67"/>
      <w:bookmarkEnd w:id="68"/>
      <w:bookmarkEnd w:id="69"/>
      <w:bookmarkEnd w:id="70"/>
      <w:bookmarkEnd w:id="71"/>
      <w:bookmarkEnd w:id="72"/>
      <w:bookmarkEnd w:id="73"/>
      <w:bookmarkEnd w:id="74"/>
    </w:p>
    <w:p>
      <w:pPr>
        <w:pStyle w:val="8"/>
        <w:spacing w:after="120"/>
        <w:ind w:left="1080" w:right="0"/>
      </w:pPr>
      <w:r>
        <w:t>Including Bilateral Contracts, Options and Forward</w:t>
      </w:r>
      <w:r>
        <w:rPr>
          <w:spacing w:val="-8"/>
        </w:rPr>
        <w:t xml:space="preserve"> </w:t>
      </w:r>
      <w:r>
        <w:t>Contracts.</w:t>
      </w:r>
    </w:p>
    <w:p>
      <w:pPr>
        <w:pStyle w:val="8"/>
        <w:spacing w:after="120"/>
        <w:ind w:left="1080" w:right="0"/>
      </w:pPr>
      <w:r>
        <w:t>Daily Spot Market trading on regional electricity markets including PJM, NYISO, MISO, ERCOT, ISO-NE, exchange trading such as NYMEX and</w:t>
      </w:r>
      <w:r>
        <w:rPr>
          <w:spacing w:val="-9"/>
        </w:rPr>
        <w:t xml:space="preserve"> </w:t>
      </w:r>
      <w:r>
        <w:t>CME.</w:t>
      </w:r>
    </w:p>
    <w:p>
      <w:pPr>
        <w:pStyle w:val="8"/>
        <w:spacing w:after="120"/>
        <w:ind w:left="1080" w:right="0"/>
      </w:pPr>
      <w:r>
        <w:t>Managing commodity portfolios, open positions, Value at Risk (VaR) analysis, price forecasting and volatility</w:t>
      </w:r>
      <w:r>
        <w:rPr>
          <w:spacing w:val="-5"/>
        </w:rPr>
        <w:t xml:space="preserve"> </w:t>
      </w:r>
      <w:r>
        <w:t>analysis.</w:t>
      </w:r>
    </w:p>
    <w:p>
      <w:pPr>
        <w:pStyle w:val="8"/>
        <w:spacing w:after="120"/>
        <w:ind w:left="1080" w:right="0"/>
      </w:pPr>
      <w:r>
        <w:t>Hosted RFP’s and Online Auctions to fulfill utility commodity supply</w:t>
      </w:r>
      <w:r>
        <w:rPr>
          <w:spacing w:val="-12"/>
        </w:rPr>
        <w:t xml:space="preserve"> </w:t>
      </w:r>
      <w:r>
        <w:t>needs.</w:t>
      </w:r>
    </w:p>
    <w:bookmarkEnd w:id="54"/>
    <w:p>
      <w:pPr>
        <w:pStyle w:val="3"/>
      </w:pPr>
      <w:bookmarkStart w:id="75" w:name="_Toc24483384"/>
      <w:bookmarkStart w:id="76" w:name="_Toc24550450"/>
      <w:bookmarkStart w:id="77" w:name="_Toc24627367"/>
      <w:bookmarkStart w:id="78" w:name="_Toc24627578"/>
      <w:bookmarkStart w:id="79" w:name="_Toc24548395"/>
      <w:bookmarkStart w:id="80" w:name="_Toc24626877"/>
      <w:bookmarkStart w:id="81" w:name="_Toc24627972"/>
      <w:bookmarkStart w:id="82" w:name="_Toc24640614"/>
      <w:bookmarkStart w:id="83" w:name="_Toc510603444"/>
      <w:bookmarkStart w:id="84" w:name="_Toc24625490"/>
      <w:r>
        <w:t>Distributed Generation and Renewable Energy</w:t>
      </w:r>
      <w:bookmarkEnd w:id="75"/>
      <w:bookmarkEnd w:id="76"/>
      <w:bookmarkEnd w:id="77"/>
      <w:bookmarkEnd w:id="78"/>
      <w:bookmarkEnd w:id="79"/>
      <w:bookmarkEnd w:id="80"/>
      <w:bookmarkEnd w:id="81"/>
      <w:bookmarkEnd w:id="82"/>
      <w:bookmarkEnd w:id="83"/>
      <w:bookmarkEnd w:id="84"/>
    </w:p>
    <w:p>
      <w:pPr>
        <w:pStyle w:val="8"/>
        <w:spacing w:after="120"/>
        <w:ind w:left="1080" w:right="0"/>
      </w:pPr>
      <w:r>
        <w:t>Developed energy infrastructure plans and projects, including microgrids, renewable energy such as wind and solar, geothermal, and</w:t>
      </w:r>
      <w:r>
        <w:rPr>
          <w:spacing w:val="-7"/>
        </w:rPr>
        <w:t xml:space="preserve"> </w:t>
      </w:r>
      <w:r>
        <w:t>biogas.</w:t>
      </w:r>
    </w:p>
    <w:p>
      <w:pPr>
        <w:pStyle w:val="8"/>
        <w:spacing w:after="120"/>
        <w:ind w:left="1080" w:right="0"/>
      </w:pPr>
      <w:r>
        <w:t>Worked with power plants and wind farms to increase revenue in regional electricity</w:t>
      </w:r>
      <w:r>
        <w:rPr>
          <w:spacing w:val="-27"/>
        </w:rPr>
        <w:t xml:space="preserve"> </w:t>
      </w:r>
      <w:r>
        <w:t>markets.</w:t>
      </w:r>
    </w:p>
    <w:p>
      <w:pPr>
        <w:pStyle w:val="8"/>
        <w:spacing w:after="120"/>
        <w:ind w:left="1080" w:right="0"/>
      </w:pPr>
      <w:r>
        <w:rPr>
          <w:b/>
        </w:rPr>
        <w:t>WGL</w:t>
      </w:r>
      <w:r>
        <w:rPr>
          <w:b/>
          <w:spacing w:val="-3"/>
        </w:rPr>
        <w:t xml:space="preserve"> </w:t>
      </w:r>
      <w:r>
        <w:rPr>
          <w:b/>
        </w:rPr>
        <w:t xml:space="preserve">Energy; </w:t>
      </w:r>
      <w:r>
        <w:t>Washington,</w:t>
      </w:r>
      <w:r>
        <w:rPr>
          <w:spacing w:val="-5"/>
        </w:rPr>
        <w:t xml:space="preserve"> </w:t>
      </w:r>
      <w:r>
        <w:t>DC - Developing energy investment opportunities for WGL Energy. Focused on distributed generation, renewable energy, geothermal, fuel cells, and energy storage opportunities in</w:t>
      </w:r>
      <w:r>
        <w:rPr>
          <w:spacing w:val="-25"/>
        </w:rPr>
        <w:t xml:space="preserve"> </w:t>
      </w:r>
      <w:r>
        <w:t>Pennsylvania.  Leading efforts to construct the energy system for the Hazelwood Green development in</w:t>
      </w:r>
      <w:r>
        <w:rPr>
          <w:spacing w:val="-33"/>
        </w:rPr>
        <w:t xml:space="preserve"> </w:t>
      </w:r>
      <w:r>
        <w:t>Pittsburgh.</w:t>
      </w:r>
    </w:p>
    <w:p>
      <w:pPr>
        <w:pStyle w:val="3"/>
      </w:pPr>
      <w:bookmarkStart w:id="85" w:name="_Toc24627579"/>
      <w:bookmarkStart w:id="86" w:name="_Toc24640615"/>
      <w:bookmarkStart w:id="87" w:name="_Toc510603445"/>
      <w:bookmarkStart w:id="88" w:name="_Toc24483385"/>
      <w:bookmarkStart w:id="89" w:name="_Toc24548396"/>
      <w:bookmarkStart w:id="90" w:name="_Toc24625491"/>
      <w:bookmarkStart w:id="91" w:name="_Toc24627973"/>
      <w:bookmarkStart w:id="92" w:name="_Toc24626878"/>
      <w:bookmarkStart w:id="93" w:name="_Toc24627368"/>
      <w:bookmarkStart w:id="94" w:name="_Toc24550451"/>
      <w:r>
        <w:t>Business Planning and Strategy</w:t>
      </w:r>
      <w:bookmarkEnd w:id="85"/>
      <w:bookmarkEnd w:id="86"/>
      <w:bookmarkEnd w:id="87"/>
      <w:bookmarkEnd w:id="88"/>
      <w:bookmarkEnd w:id="89"/>
      <w:bookmarkEnd w:id="90"/>
      <w:bookmarkEnd w:id="91"/>
      <w:bookmarkEnd w:id="92"/>
      <w:bookmarkEnd w:id="93"/>
      <w:bookmarkEnd w:id="94"/>
    </w:p>
    <w:p>
      <w:pPr>
        <w:pStyle w:val="8"/>
        <w:spacing w:after="120"/>
        <w:ind w:left="1080" w:right="0"/>
      </w:pPr>
      <w:r>
        <w:t>Crafted business plans, Investor Pitches, and Marketing</w:t>
      </w:r>
      <w:r>
        <w:rPr>
          <w:spacing w:val="-14"/>
        </w:rPr>
        <w:t xml:space="preserve"> </w:t>
      </w:r>
      <w:r>
        <w:t>Plans.</w:t>
      </w:r>
    </w:p>
    <w:p>
      <w:pPr>
        <w:pStyle w:val="8"/>
        <w:spacing w:after="120"/>
        <w:ind w:left="1080" w:right="0"/>
      </w:pPr>
      <w:r>
        <w:t>Responsible for Budgeting, Forecasting, and</w:t>
      </w:r>
      <w:r>
        <w:rPr>
          <w:spacing w:val="-8"/>
        </w:rPr>
        <w:t xml:space="preserve"> </w:t>
      </w:r>
      <w:r>
        <w:t>analysis.</w:t>
      </w:r>
    </w:p>
    <w:p>
      <w:pPr>
        <w:pStyle w:val="3"/>
      </w:pPr>
      <w:bookmarkStart w:id="95" w:name="_Toc24627580"/>
      <w:bookmarkStart w:id="96" w:name="_Toc24627974"/>
      <w:bookmarkStart w:id="97" w:name="_Toc24483386"/>
      <w:bookmarkStart w:id="98" w:name="_Toc24548397"/>
      <w:bookmarkStart w:id="99" w:name="_Toc510603446"/>
      <w:bookmarkStart w:id="100" w:name="_Toc24550452"/>
      <w:bookmarkStart w:id="101" w:name="_Toc24626879"/>
      <w:bookmarkStart w:id="102" w:name="_Toc24627369"/>
      <w:bookmarkStart w:id="103" w:name="_Toc24640616"/>
      <w:bookmarkStart w:id="104" w:name="_Toc24625492"/>
      <w:r>
        <w:t>Sales, Business Development, and Project Development</w:t>
      </w:r>
      <w:bookmarkEnd w:id="95"/>
      <w:bookmarkEnd w:id="96"/>
      <w:bookmarkEnd w:id="97"/>
      <w:bookmarkEnd w:id="98"/>
      <w:bookmarkEnd w:id="99"/>
      <w:bookmarkEnd w:id="100"/>
      <w:bookmarkEnd w:id="101"/>
      <w:bookmarkEnd w:id="102"/>
      <w:bookmarkEnd w:id="103"/>
      <w:bookmarkEnd w:id="104"/>
    </w:p>
    <w:p>
      <w:pPr>
        <w:pStyle w:val="8"/>
        <w:spacing w:after="120"/>
        <w:ind w:left="1080" w:right="0"/>
      </w:pPr>
      <w:r>
        <w:t>Drove Sales and Business Development, prospecting and</w:t>
      </w:r>
      <w:r>
        <w:rPr>
          <w:spacing w:val="-12"/>
        </w:rPr>
        <w:t xml:space="preserve"> </w:t>
      </w:r>
      <w:r>
        <w:t>networking.</w:t>
      </w:r>
    </w:p>
    <w:p>
      <w:pPr>
        <w:pStyle w:val="8"/>
        <w:spacing w:after="120"/>
        <w:ind w:left="1080" w:right="0"/>
      </w:pPr>
      <w:r>
        <w:t>Developed relationships with</w:t>
      </w:r>
      <w:r>
        <w:rPr>
          <w:spacing w:val="-7"/>
        </w:rPr>
        <w:t xml:space="preserve"> </w:t>
      </w:r>
      <w:r>
        <w:t>Stakeholders.</w:t>
      </w:r>
    </w:p>
    <w:p>
      <w:pPr>
        <w:pStyle w:val="8"/>
        <w:spacing w:after="120"/>
        <w:ind w:left="1080" w:right="0"/>
      </w:pPr>
      <w:r>
        <w:t>Managed accounts for Customers, Suppliers, Vendors, and</w:t>
      </w:r>
      <w:r>
        <w:rPr>
          <w:spacing w:val="-13"/>
        </w:rPr>
        <w:t xml:space="preserve"> </w:t>
      </w:r>
      <w:r>
        <w:t>Partners.</w:t>
      </w:r>
    </w:p>
    <w:p>
      <w:pPr>
        <w:pStyle w:val="8"/>
        <w:spacing w:after="120"/>
        <w:ind w:left="1080" w:right="0"/>
      </w:pPr>
      <w:r>
        <w:t>Extensive Pricing and Contract Negotiation</w:t>
      </w:r>
      <w:r>
        <w:rPr>
          <w:spacing w:val="-10"/>
        </w:rPr>
        <w:t xml:space="preserve"> </w:t>
      </w:r>
      <w:r>
        <w:t>experience.</w:t>
      </w:r>
    </w:p>
    <w:p>
      <w:pPr>
        <w:pStyle w:val="8"/>
        <w:numPr>
          <w:numId w:val="0"/>
        </w:numPr>
        <w:spacing w:after="120" w:line="240" w:lineRule="auto"/>
        <w:ind w:right="0" w:rightChars="0"/>
        <w:contextualSpacing/>
      </w:pPr>
      <w:bookmarkStart w:id="124" w:name="_GoBack"/>
      <w:bookmarkEnd w:id="124"/>
    </w:p>
    <w:p>
      <w:pPr>
        <w:pStyle w:val="8"/>
        <w:numPr>
          <w:numId w:val="0"/>
        </w:numPr>
        <w:spacing w:after="120" w:line="240" w:lineRule="auto"/>
        <w:ind w:right="0" w:rightChars="0"/>
        <w:contextualSpacing/>
        <w:rPr>
          <w:rFonts w:hint="default" w:ascii="Book Antiqua" w:hAnsi="Book Antiqua" w:cs="Book Antiqua"/>
        </w:rPr>
      </w:pPr>
    </w:p>
    <w:p>
      <w:pPr>
        <w:pStyle w:val="3"/>
        <w:rPr>
          <w:rFonts w:hint="default" w:ascii="Book Antiqua" w:hAnsi="Book Antiqua" w:cs="Book Antiqua"/>
        </w:rPr>
      </w:pPr>
      <w:r>
        <w:rPr>
          <w:rFonts w:hint="default" w:cs="Arial"/>
          <w:lang w:val="en-US"/>
        </w:rPr>
        <w:t>IMG Energy Solutions</w:t>
      </w:r>
      <w:r>
        <w:rPr>
          <w:rFonts w:hint="default" w:ascii="Book Antiqua" w:hAnsi="Book Antiqua" w:cs="Book Antiqua"/>
        </w:rPr>
        <w:t xml:space="preserve"> </w:t>
      </w:r>
      <w:r>
        <w:rPr>
          <w:rFonts w:hint="default" w:ascii="Book Antiqua" w:hAnsi="Book Antiqua" w:cs="Book Antiqua"/>
        </w:rPr>
        <w:br w:type="textWrapping"/>
      </w:r>
      <w:r>
        <w:rPr>
          <w:rFonts w:hint="default" w:ascii="Book Antiqua" w:hAnsi="Book Antiqua"/>
          <w:u w:val="single"/>
        </w:rPr>
        <w:t>Business Development Manager</w:t>
      </w:r>
    </w:p>
    <w:p>
      <w:pPr>
        <w:pStyle w:val="8"/>
        <w:spacing w:after="120"/>
        <w:ind w:left="1080" w:right="0"/>
      </w:pPr>
      <w:r>
        <w:rPr>
          <w:rFonts w:hint="default"/>
          <w:lang w:val="en-US"/>
        </w:rPr>
        <w:t>Developing natural gas and solar power plants across the Northeast and Texas</w:t>
      </w:r>
      <w:r>
        <w:t>.</w:t>
      </w:r>
    </w:p>
    <w:p>
      <w:pPr>
        <w:pStyle w:val="8"/>
        <w:spacing w:after="120"/>
        <w:ind w:left="1080" w:right="0"/>
      </w:pPr>
      <w:r>
        <w:rPr>
          <w:rFonts w:hint="default"/>
          <w:lang w:val="en-US"/>
        </w:rPr>
        <w:t>Designing both behind-the-meter and utility-scale projects.</w:t>
      </w:r>
    </w:p>
    <w:p>
      <w:pPr>
        <w:pStyle w:val="8"/>
        <w:numPr>
          <w:numId w:val="0"/>
        </w:numPr>
        <w:spacing w:after="120"/>
        <w:ind w:left="720" w:leftChars="0" w:right="0" w:rightChars="0"/>
      </w:pPr>
    </w:p>
    <w:p>
      <w:pPr>
        <w:pStyle w:val="3"/>
        <w:rPr>
          <w:rFonts w:hint="default" w:ascii="Book Antiqua" w:hAnsi="Book Antiqua" w:cs="Book Antiqua"/>
        </w:rPr>
      </w:pPr>
      <w:r>
        <w:rPr>
          <w:rFonts w:hint="default" w:cs="Arial"/>
          <w:lang w:val="en-US"/>
        </w:rPr>
        <w:t>Scalo Solar Solutions</w:t>
      </w:r>
      <w:r>
        <w:rPr>
          <w:rFonts w:hint="default" w:ascii="Book Antiqua" w:hAnsi="Book Antiqua" w:cs="Book Antiqua"/>
        </w:rPr>
        <w:t xml:space="preserve"> </w:t>
      </w:r>
      <w:r>
        <w:rPr>
          <w:rFonts w:hint="default" w:ascii="Book Antiqua" w:hAnsi="Book Antiqua" w:cs="Book Antiqua"/>
        </w:rPr>
        <w:br w:type="textWrapping"/>
      </w:r>
      <w:r>
        <w:rPr>
          <w:rFonts w:hint="default" w:ascii="Book Antiqua" w:hAnsi="Book Antiqua" w:cs="Book Antiqua"/>
          <w:u w:val="single"/>
          <w:lang w:val="en-US"/>
        </w:rPr>
        <w:t>Business Development Manager</w:t>
      </w:r>
    </w:p>
    <w:p>
      <w:pPr>
        <w:pStyle w:val="8"/>
        <w:spacing w:after="120"/>
        <w:ind w:left="1080" w:right="0"/>
        <w:rPr>
          <w:rFonts w:hint="default"/>
        </w:rPr>
      </w:pPr>
      <w:r>
        <w:rPr>
          <w:rFonts w:hint="default"/>
        </w:rPr>
        <w:t>Develop</w:t>
      </w:r>
      <w:r>
        <w:rPr>
          <w:rFonts w:hint="default"/>
          <w:lang w:val="en-US"/>
        </w:rPr>
        <w:t>ed</w:t>
      </w:r>
      <w:r>
        <w:rPr>
          <w:rFonts w:hint="default"/>
        </w:rPr>
        <w:t xml:space="preserve"> solar energy projects in Pennsylvania and Ohio. </w:t>
      </w:r>
    </w:p>
    <w:p>
      <w:pPr>
        <w:pStyle w:val="8"/>
        <w:spacing w:after="120"/>
        <w:ind w:left="1080" w:right="0"/>
        <w:rPr>
          <w:rFonts w:hint="default"/>
        </w:rPr>
      </w:pPr>
      <w:r>
        <w:rPr>
          <w:rFonts w:hint="default"/>
        </w:rPr>
        <w:t>Help</w:t>
      </w:r>
      <w:r>
        <w:rPr>
          <w:rFonts w:hint="default"/>
          <w:lang w:val="en-US"/>
        </w:rPr>
        <w:t>ed</w:t>
      </w:r>
      <w:r>
        <w:rPr>
          <w:rFonts w:hint="default"/>
        </w:rPr>
        <w:t xml:space="preserve"> commercial customers and non-profit organizations achieve green energy goals.</w:t>
      </w:r>
    </w:p>
    <w:p>
      <w:pPr>
        <w:pStyle w:val="8"/>
        <w:spacing w:after="120"/>
        <w:ind w:left="1080" w:right="0"/>
        <w:rPr>
          <w:rFonts w:hint="default"/>
        </w:rPr>
      </w:pPr>
      <w:r>
        <w:rPr>
          <w:rFonts w:hint="default"/>
        </w:rPr>
        <w:t>Utiliz</w:t>
      </w:r>
      <w:r>
        <w:rPr>
          <w:rFonts w:hint="default"/>
          <w:lang w:val="en-US"/>
        </w:rPr>
        <w:t>ed</w:t>
      </w:r>
      <w:r>
        <w:rPr>
          <w:rFonts w:hint="default"/>
        </w:rPr>
        <w:t xml:space="preserve"> Power Purchase Agreements and unique financing structures to win business.</w:t>
      </w:r>
    </w:p>
    <w:p>
      <w:pPr>
        <w:pStyle w:val="8"/>
        <w:spacing w:after="120"/>
        <w:ind w:left="1080" w:right="0"/>
      </w:pPr>
      <w:r>
        <w:rPr>
          <w:rFonts w:hint="default"/>
        </w:rPr>
        <w:t>Signed several million dollars in behind-the-meter solar projects in first year.</w:t>
      </w:r>
    </w:p>
    <w:p>
      <w:pPr>
        <w:pStyle w:val="8"/>
        <w:numPr>
          <w:numId w:val="0"/>
        </w:numPr>
        <w:spacing w:after="120"/>
        <w:ind w:left="720" w:leftChars="0" w:right="0" w:rightChars="0"/>
      </w:pPr>
    </w:p>
    <w:p>
      <w:pPr>
        <w:pStyle w:val="3"/>
        <w:rPr>
          <w:rFonts w:hint="default" w:ascii="Book Antiqua" w:hAnsi="Book Antiqua" w:cs="Book Antiqua"/>
        </w:rPr>
      </w:pPr>
      <w:r>
        <w:rPr>
          <w:rFonts w:hint="default" w:cs="Arial"/>
          <w:lang w:val="en-US"/>
        </w:rPr>
        <w:t>WGL Energy</w:t>
      </w:r>
      <w:r>
        <w:rPr>
          <w:rFonts w:hint="default" w:ascii="Book Antiqua" w:hAnsi="Book Antiqua" w:cs="Book Antiqua"/>
        </w:rPr>
        <w:t xml:space="preserve"> </w:t>
      </w:r>
      <w:r>
        <w:rPr>
          <w:rFonts w:hint="default" w:ascii="Book Antiqua" w:hAnsi="Book Antiqua" w:cs="Book Antiqua"/>
        </w:rPr>
        <w:br w:type="textWrapping"/>
      </w:r>
      <w:r>
        <w:rPr>
          <w:rFonts w:hint="default" w:ascii="Book Antiqua" w:hAnsi="Book Antiqua" w:cs="Book Antiqua"/>
          <w:u w:val="single"/>
          <w:lang w:val="en-US"/>
        </w:rPr>
        <w:t>Business Development Consultant</w:t>
      </w:r>
    </w:p>
    <w:p>
      <w:pPr>
        <w:pStyle w:val="8"/>
        <w:spacing w:after="120"/>
        <w:ind w:left="1080" w:right="0"/>
        <w:rPr>
          <w:rFonts w:hint="default"/>
        </w:rPr>
      </w:pPr>
      <w:r>
        <w:rPr>
          <w:rFonts w:hint="default"/>
        </w:rPr>
        <w:t xml:space="preserve">Developed energy investment opportunities for WGL Energy. Focused on distributed generation, solar and renewable energy, natural gas and CHP, and energy storage opportunities in Pennsylvania. </w:t>
      </w:r>
    </w:p>
    <w:p>
      <w:pPr>
        <w:pStyle w:val="8"/>
        <w:spacing w:after="120"/>
        <w:ind w:left="1080" w:right="0"/>
        <w:rPr>
          <w:rFonts w:hint="default"/>
        </w:rPr>
      </w:pPr>
      <w:r>
        <w:rPr>
          <w:rFonts w:hint="default"/>
        </w:rPr>
        <w:t>Led efforts to construct the energy system for the Hazelwood Green development in Pittsburgh.</w:t>
      </w:r>
    </w:p>
    <w:p>
      <w:pPr>
        <w:pStyle w:val="8"/>
        <w:spacing w:after="120"/>
        <w:ind w:left="1080" w:right="0"/>
      </w:pPr>
      <w:r>
        <w:rPr>
          <w:rFonts w:hint="default"/>
        </w:rPr>
        <w:t>Proposal Manager for multiple high-profile gas-generation and microgrid projects.</w:t>
      </w:r>
    </w:p>
    <w:p>
      <w:pPr>
        <w:pStyle w:val="8"/>
        <w:numPr>
          <w:numId w:val="0"/>
        </w:numPr>
        <w:spacing w:after="120" w:line="240" w:lineRule="auto"/>
        <w:ind w:right="0" w:rightChars="0"/>
        <w:contextualSpacing/>
        <w:rPr>
          <w:rFonts w:hint="default" w:ascii="Book Antiqua" w:hAnsi="Book Antiqua" w:cs="Book Antiqua"/>
        </w:rPr>
      </w:pPr>
    </w:p>
    <w:p>
      <w:pPr>
        <w:pStyle w:val="8"/>
        <w:numPr>
          <w:numId w:val="0"/>
        </w:numPr>
        <w:spacing w:after="120" w:line="240" w:lineRule="auto"/>
        <w:ind w:right="0" w:rightChars="0"/>
        <w:contextualSpacing/>
        <w:rPr>
          <w:rFonts w:hint="default" w:ascii="Book Antiqua" w:hAnsi="Book Antiqua" w:cs="Book Antiqua"/>
        </w:rPr>
      </w:pPr>
    </w:p>
    <w:p>
      <w:pPr>
        <w:pStyle w:val="3"/>
        <w:rPr>
          <w:rFonts w:hint="default" w:ascii="Book Antiqua" w:hAnsi="Book Antiqua" w:cs="Book Antiqua"/>
        </w:rPr>
      </w:pPr>
      <w:bookmarkStart w:id="105" w:name="_Toc24483388"/>
      <w:bookmarkStart w:id="106" w:name="_Toc24626881"/>
      <w:bookmarkStart w:id="107" w:name="_Toc24627976"/>
      <w:bookmarkStart w:id="108" w:name="_Toc24640618"/>
      <w:bookmarkStart w:id="109" w:name="_Toc24548399"/>
      <w:bookmarkStart w:id="110" w:name="_Toc24627371"/>
      <w:bookmarkStart w:id="111" w:name="_Toc24627582"/>
      <w:bookmarkStart w:id="112" w:name="_Toc24550454"/>
      <w:bookmarkStart w:id="113" w:name="_Toc24625494"/>
      <w:r>
        <w:rPr>
          <w:rFonts w:hint="default" w:ascii="Arial" w:hAnsi="Arial" w:cs="Arial"/>
        </w:rPr>
        <w:t>kWantera,</w:t>
      </w:r>
      <w:r>
        <w:rPr>
          <w:rFonts w:hint="default" w:ascii="Arial" w:hAnsi="Arial" w:cs="Arial"/>
          <w:spacing w:val="-4"/>
        </w:rPr>
        <w:t xml:space="preserve"> </w:t>
      </w:r>
      <w:r>
        <w:rPr>
          <w:rFonts w:hint="default" w:ascii="Arial" w:hAnsi="Arial" w:cs="Arial"/>
        </w:rPr>
        <w:t>Inc</w:t>
      </w:r>
      <w:r>
        <w:rPr>
          <w:rFonts w:hint="default" w:ascii="Book Antiqua" w:hAnsi="Book Antiqua" w:cs="Book Antiqua"/>
        </w:rPr>
        <w:t xml:space="preserve">. </w:t>
      </w:r>
      <w:r>
        <w:rPr>
          <w:rFonts w:hint="default" w:ascii="Book Antiqua" w:hAnsi="Book Antiqua" w:cs="Book Antiqua"/>
        </w:rPr>
        <w:br w:type="textWrapping"/>
      </w:r>
      <w:r>
        <w:rPr>
          <w:rFonts w:hint="default" w:ascii="Book Antiqua" w:hAnsi="Book Antiqua" w:cs="Book Antiqua"/>
          <w:u w:val="single"/>
        </w:rPr>
        <w:t>Senior Vice President of</w:t>
      </w:r>
      <w:r>
        <w:rPr>
          <w:rFonts w:hint="default" w:ascii="Book Antiqua" w:hAnsi="Book Antiqua" w:cs="Book Antiqua"/>
          <w:spacing w:val="-12"/>
          <w:u w:val="single"/>
        </w:rPr>
        <w:t xml:space="preserve"> </w:t>
      </w:r>
      <w:r>
        <w:rPr>
          <w:rFonts w:hint="default" w:ascii="Book Antiqua" w:hAnsi="Book Antiqua" w:cs="Book Antiqua"/>
          <w:u w:val="single"/>
        </w:rPr>
        <w:t>Commercial</w:t>
      </w:r>
      <w:r>
        <w:rPr>
          <w:rFonts w:hint="default" w:ascii="Book Antiqua" w:hAnsi="Book Antiqua" w:cs="Book Antiqua"/>
          <w:spacing w:val="-1"/>
          <w:u w:val="single"/>
        </w:rPr>
        <w:t xml:space="preserve"> </w:t>
      </w:r>
      <w:r>
        <w:rPr>
          <w:rFonts w:hint="default" w:ascii="Book Antiqua" w:hAnsi="Book Antiqua" w:cs="Book Antiqua"/>
          <w:u w:val="single"/>
        </w:rPr>
        <w:t>Operations</w:t>
      </w:r>
      <w:bookmarkEnd w:id="105"/>
      <w:bookmarkEnd w:id="106"/>
      <w:bookmarkEnd w:id="107"/>
      <w:bookmarkEnd w:id="108"/>
      <w:bookmarkEnd w:id="109"/>
      <w:bookmarkEnd w:id="110"/>
      <w:bookmarkEnd w:id="111"/>
      <w:bookmarkEnd w:id="112"/>
      <w:bookmarkEnd w:id="113"/>
    </w:p>
    <w:p>
      <w:pPr>
        <w:pStyle w:val="8"/>
        <w:spacing w:after="120"/>
        <w:ind w:left="1080" w:right="0"/>
      </w:pPr>
      <w:r>
        <w:t>Recruited</w:t>
      </w:r>
      <w:r>
        <w:rPr>
          <w:spacing w:val="-4"/>
        </w:rPr>
        <w:t xml:space="preserve"> </w:t>
      </w:r>
      <w:r>
        <w:t>to</w:t>
      </w:r>
      <w:r>
        <w:rPr>
          <w:spacing w:val="-3"/>
        </w:rPr>
        <w:t xml:space="preserve"> </w:t>
      </w:r>
      <w:r>
        <w:t>join</w:t>
      </w:r>
      <w:r>
        <w:rPr>
          <w:spacing w:val="-4"/>
        </w:rPr>
        <w:t xml:space="preserve"> </w:t>
      </w:r>
      <w:r>
        <w:t>kWantera,</w:t>
      </w:r>
      <w:r>
        <w:rPr>
          <w:spacing w:val="-3"/>
        </w:rPr>
        <w:t xml:space="preserve"> </w:t>
      </w:r>
      <w:r>
        <w:t>a</w:t>
      </w:r>
      <w:r>
        <w:rPr>
          <w:spacing w:val="-2"/>
        </w:rPr>
        <w:t xml:space="preserve"> </w:t>
      </w:r>
      <w:r>
        <w:t>technology</w:t>
      </w:r>
      <w:r>
        <w:rPr>
          <w:spacing w:val="-3"/>
        </w:rPr>
        <w:t xml:space="preserve"> </w:t>
      </w:r>
      <w:r>
        <w:t>start-up</w:t>
      </w:r>
      <w:r>
        <w:rPr>
          <w:spacing w:val="-3"/>
        </w:rPr>
        <w:t xml:space="preserve"> </w:t>
      </w:r>
      <w:r>
        <w:t>that</w:t>
      </w:r>
      <w:r>
        <w:rPr>
          <w:spacing w:val="-3"/>
        </w:rPr>
        <w:t xml:space="preserve"> </w:t>
      </w:r>
      <w:r>
        <w:t>used</w:t>
      </w:r>
      <w:r>
        <w:rPr>
          <w:spacing w:val="-4"/>
        </w:rPr>
        <w:t xml:space="preserve"> </w:t>
      </w:r>
      <w:r>
        <w:t>artificial</w:t>
      </w:r>
      <w:r>
        <w:rPr>
          <w:spacing w:val="-4"/>
        </w:rPr>
        <w:t xml:space="preserve"> </w:t>
      </w:r>
      <w:r>
        <w:t>intelligence</w:t>
      </w:r>
      <w:r>
        <w:rPr>
          <w:spacing w:val="-3"/>
        </w:rPr>
        <w:t xml:space="preserve"> </w:t>
      </w:r>
      <w:r>
        <w:t>technology</w:t>
      </w:r>
      <w:r>
        <w:rPr>
          <w:spacing w:val="-3"/>
        </w:rPr>
        <w:t xml:space="preserve"> </w:t>
      </w:r>
      <w:r>
        <w:t>to</w:t>
      </w:r>
      <w:r>
        <w:rPr>
          <w:spacing w:val="-5"/>
        </w:rPr>
        <w:t xml:space="preserve"> </w:t>
      </w:r>
      <w:r>
        <w:t>make specific trading and operational recommendations to energy market</w:t>
      </w:r>
      <w:r>
        <w:rPr>
          <w:spacing w:val="-16"/>
        </w:rPr>
        <w:t xml:space="preserve"> </w:t>
      </w:r>
      <w:r>
        <w:t>decision-makers.</w:t>
      </w:r>
    </w:p>
    <w:p>
      <w:pPr>
        <w:pStyle w:val="8"/>
        <w:spacing w:after="120"/>
        <w:ind w:left="1080" w:right="0"/>
      </w:pPr>
      <w:r>
        <w:t>Quickly promoted to executive level and acted as a member of the five-person leadership team that determined all strategic business decisions for the</w:t>
      </w:r>
      <w:r>
        <w:rPr>
          <w:spacing w:val="-13"/>
        </w:rPr>
        <w:t xml:space="preserve"> </w:t>
      </w:r>
      <w:r>
        <w:t>company.</w:t>
      </w:r>
    </w:p>
    <w:p>
      <w:pPr>
        <w:pStyle w:val="8"/>
        <w:spacing w:after="120"/>
        <w:ind w:left="1080" w:right="0"/>
      </w:pPr>
      <w:r>
        <w:t>Doubled Revenue within one year of being put in charge of Commercial</w:t>
      </w:r>
      <w:r>
        <w:rPr>
          <w:spacing w:val="-20"/>
        </w:rPr>
        <w:t xml:space="preserve"> </w:t>
      </w:r>
      <w:r>
        <w:t>Operations.</w:t>
      </w:r>
    </w:p>
    <w:p>
      <w:pPr>
        <w:pStyle w:val="8"/>
        <w:spacing w:after="120"/>
        <w:ind w:left="1080" w:right="0"/>
      </w:pPr>
      <w:r>
        <w:t>Improved Customer Satisfaction by 50% by building strong customer and partner</w:t>
      </w:r>
      <w:r>
        <w:rPr>
          <w:spacing w:val="-20"/>
        </w:rPr>
        <w:t xml:space="preserve"> </w:t>
      </w:r>
      <w:r>
        <w:t>relationships.</w:t>
      </w:r>
    </w:p>
    <w:p>
      <w:pPr>
        <w:pStyle w:val="8"/>
        <w:spacing w:after="120"/>
        <w:ind w:left="1080" w:right="0"/>
      </w:pPr>
      <w:r>
        <w:t>Created an improved Commercial Strategy and grew the Sales Pipeline by</w:t>
      </w:r>
      <w:r>
        <w:rPr>
          <w:spacing w:val="-22"/>
        </w:rPr>
        <w:t xml:space="preserve"> </w:t>
      </w:r>
      <w:r>
        <w:t>400%.</w:t>
      </w:r>
    </w:p>
    <w:p>
      <w:pPr>
        <w:pStyle w:val="8"/>
        <w:spacing w:after="120"/>
        <w:ind w:left="1080" w:right="0"/>
      </w:pPr>
      <w:r>
        <w:t>Won a major deal by signing GE as a partner. Developed a product for renewable generators and then fully licensed it to GE as part of their Digital Wind Farm in</w:t>
      </w:r>
      <w:r>
        <w:rPr>
          <w:spacing w:val="-22"/>
        </w:rPr>
        <w:t xml:space="preserve"> </w:t>
      </w:r>
      <w:r>
        <w:t>2016.</w:t>
      </w:r>
    </w:p>
    <w:p>
      <w:pPr>
        <w:pStyle w:val="8"/>
        <w:pageBreakBefore w:val="0"/>
        <w:widowControl/>
        <w:numPr>
          <w:numId w:val="0"/>
        </w:numPr>
        <w:kinsoku/>
        <w:wordWrap/>
        <w:overflowPunct/>
        <w:topLinePunct w:val="0"/>
        <w:autoSpaceDE/>
        <w:autoSpaceDN/>
        <w:bidi w:val="0"/>
        <w:adjustRightInd/>
        <w:snapToGrid w:val="0"/>
        <w:spacing w:after="120"/>
        <w:ind w:left="720" w:leftChars="0" w:right="0" w:rightChars="0"/>
        <w:textAlignment w:val="auto"/>
      </w:pPr>
    </w:p>
    <w:p>
      <w:pPr>
        <w:pStyle w:val="3"/>
        <w:keepNext/>
        <w:keepLines/>
        <w:pageBreakBefore w:val="0"/>
        <w:widowControl/>
        <w:kinsoku/>
        <w:wordWrap/>
        <w:overflowPunct/>
        <w:topLinePunct w:val="0"/>
        <w:autoSpaceDE/>
        <w:autoSpaceDN/>
        <w:bidi w:val="0"/>
        <w:adjustRightInd/>
        <w:snapToGrid w:val="0"/>
        <w:textAlignment w:val="auto"/>
      </w:pPr>
      <w:bookmarkStart w:id="114" w:name="_Toc24627977"/>
      <w:bookmarkStart w:id="115" w:name="_Toc510603448"/>
      <w:bookmarkStart w:id="116" w:name="_Toc24548400"/>
      <w:bookmarkStart w:id="117" w:name="_Toc24483389"/>
      <w:bookmarkStart w:id="118" w:name="_Toc24550455"/>
      <w:bookmarkStart w:id="119" w:name="_Toc24625495"/>
      <w:bookmarkStart w:id="120" w:name="_Toc24626882"/>
      <w:bookmarkStart w:id="121" w:name="_Toc24627372"/>
      <w:bookmarkStart w:id="122" w:name="_Toc24627583"/>
      <w:bookmarkStart w:id="123" w:name="_Toc24640619"/>
      <w:r>
        <w:t>Duquesne Light Company</w:t>
      </w:r>
      <w:bookmarkEnd w:id="114"/>
      <w:bookmarkEnd w:id="115"/>
      <w:bookmarkEnd w:id="116"/>
      <w:bookmarkEnd w:id="117"/>
      <w:bookmarkEnd w:id="118"/>
      <w:bookmarkEnd w:id="119"/>
      <w:bookmarkEnd w:id="120"/>
      <w:bookmarkEnd w:id="121"/>
      <w:bookmarkEnd w:id="122"/>
      <w:bookmarkEnd w:id="123"/>
      <w:r>
        <w:t xml:space="preserve"> </w:t>
      </w:r>
    </w:p>
    <w:p>
      <w:pPr>
        <w:pageBreakBefore w:val="0"/>
        <w:widowControl/>
        <w:kinsoku/>
        <w:wordWrap/>
        <w:overflowPunct/>
        <w:topLinePunct w:val="0"/>
        <w:autoSpaceDE/>
        <w:autoSpaceDN/>
        <w:bidi w:val="0"/>
        <w:adjustRightInd/>
        <w:snapToGrid w:val="0"/>
        <w:textAlignment w:val="auto"/>
        <w:rPr>
          <w:b/>
          <w:sz w:val="24"/>
          <w:u w:val="single"/>
        </w:rPr>
      </w:pPr>
      <w:r>
        <w:rPr>
          <w:b/>
          <w:sz w:val="24"/>
          <w:u w:val="single"/>
        </w:rPr>
        <w:t>Supervisor, Forecasting and</w:t>
      </w:r>
      <w:r>
        <w:rPr>
          <w:b/>
          <w:spacing w:val="-12"/>
          <w:sz w:val="24"/>
          <w:u w:val="single"/>
        </w:rPr>
        <w:t xml:space="preserve"> </w:t>
      </w:r>
      <w:r>
        <w:rPr>
          <w:b/>
          <w:sz w:val="24"/>
          <w:u w:val="single"/>
        </w:rPr>
        <w:t>Supply</w:t>
      </w:r>
      <w:r>
        <w:rPr>
          <w:b/>
          <w:spacing w:val="-2"/>
          <w:sz w:val="24"/>
          <w:u w:val="single"/>
        </w:rPr>
        <w:t xml:space="preserve"> </w:t>
      </w:r>
      <w:r>
        <w:rPr>
          <w:b/>
          <w:sz w:val="24"/>
          <w:u w:val="single"/>
        </w:rPr>
        <w:t>Procurement</w:t>
      </w:r>
    </w:p>
    <w:p>
      <w:pPr>
        <w:pStyle w:val="8"/>
        <w:spacing w:after="120"/>
        <w:ind w:left="1080" w:right="0"/>
      </w:pPr>
      <w:r>
        <w:t>Led strategic projects including multiple successful regulatory outcomes in front of the Public Utility Commission.</w:t>
      </w:r>
    </w:p>
    <w:p>
      <w:pPr>
        <w:pStyle w:val="8"/>
        <w:spacing w:after="120"/>
        <w:ind w:left="1080" w:right="0"/>
      </w:pPr>
      <w:r>
        <w:t>Responsible for all power supply needs for the company, including wholesale trading and conducting auctions.</w:t>
      </w:r>
    </w:p>
    <w:p>
      <w:pPr>
        <w:pStyle w:val="8"/>
        <w:spacing w:after="120"/>
        <w:ind w:left="1080" w:right="0"/>
      </w:pPr>
      <w:r>
        <w:rPr>
          <w:rFonts w:hint="default"/>
          <w:lang w:val="en-US"/>
        </w:rPr>
        <w:t>S</w:t>
      </w:r>
      <w:r>
        <w:t>uccessfully testif</w:t>
      </w:r>
      <w:r>
        <w:rPr>
          <w:rFonts w:hint="default"/>
          <w:lang w:val="en-US"/>
        </w:rPr>
        <w:t>ied</w:t>
      </w:r>
      <w:r>
        <w:t xml:space="preserve"> as a company witness in multiple successful rate hike proceedings in front of the Public Utility</w:t>
      </w:r>
      <w:r>
        <w:rPr>
          <w:spacing w:val="-16"/>
        </w:rPr>
        <w:t xml:space="preserve"> </w:t>
      </w:r>
      <w:r>
        <w:t>Commission.</w:t>
      </w:r>
    </w:p>
    <w:p>
      <w:pPr>
        <w:pStyle w:val="8"/>
        <w:spacing w:after="120"/>
        <w:ind w:left="1080" w:right="0"/>
      </w:pPr>
      <w:r>
        <w:t>As project leader, led the company’s default service team to a successful outcome in our regulatory filings to the Public Utility Commission. Submitted</w:t>
      </w:r>
      <w:r>
        <w:rPr>
          <w:sz w:val="24"/>
          <w:szCs w:val="24"/>
        </w:rPr>
        <w:t xml:space="preserve"> written </w:t>
      </w:r>
      <w:r>
        <w:t>testimony, multiple rounds of rebuttal testimony, and worked with the legal team to draft briefs and</w:t>
      </w:r>
      <w:r>
        <w:rPr>
          <w:spacing w:val="-20"/>
        </w:rPr>
        <w:t xml:space="preserve"> </w:t>
      </w:r>
      <w:r>
        <w:t>petitions.</w:t>
      </w:r>
    </w:p>
    <w:p>
      <w:pPr>
        <w:pStyle w:val="8"/>
        <w:spacing w:after="120"/>
        <w:ind w:left="1080" w:right="0"/>
      </w:pPr>
      <w:r>
        <w:t>Designed and won approval from the PUC for the utility’s first Time of Use rate plan for customers who have received smart meters. Drafted program rules and supply contracts for retail</w:t>
      </w:r>
      <w:r>
        <w:rPr>
          <w:spacing w:val="-27"/>
        </w:rPr>
        <w:t xml:space="preserve"> </w:t>
      </w:r>
      <w:r>
        <w:t>suppliers.</w:t>
      </w:r>
    </w:p>
    <w:p>
      <w:pPr>
        <w:pStyle w:val="8"/>
        <w:numPr>
          <w:numId w:val="0"/>
        </w:numPr>
        <w:spacing w:after="120"/>
        <w:ind w:left="720" w:leftChars="0" w:right="0" w:rightChars="0"/>
      </w:pPr>
    </w:p>
    <w:p>
      <w:pPr>
        <w:keepNext/>
        <w:keepLines/>
        <w:outlineLvl w:val="2"/>
        <w:rPr>
          <w:rFonts w:ascii="Arial" w:hAnsi="Arial" w:cs="Arial"/>
          <w:b/>
          <w:bCs/>
          <w:caps/>
          <w:sz w:val="24"/>
        </w:rPr>
      </w:pPr>
      <w:r>
        <w:rPr>
          <w:rFonts w:ascii="Arial" w:hAnsi="Arial" w:cs="Arial"/>
          <w:b/>
          <w:bCs/>
          <w:caps/>
          <w:sz w:val="24"/>
        </w:rPr>
        <w:t>Education</w:t>
      </w:r>
    </w:p>
    <w:p>
      <w:pPr>
        <w:pStyle w:val="8"/>
        <w:numPr>
          <w:ilvl w:val="0"/>
          <w:numId w:val="2"/>
        </w:numPr>
        <w:spacing w:after="120"/>
        <w:ind w:left="1080" w:right="0"/>
        <w:contextualSpacing w:val="0"/>
        <w:rPr>
          <w:rFonts w:cs="Times New Roman"/>
        </w:rPr>
      </w:pPr>
      <w:r>
        <w:rPr>
          <w:b/>
        </w:rPr>
        <w:t>University of Pittsburgh, Pittsburgh, PA</w:t>
      </w:r>
      <w:r>
        <w:rPr>
          <w:rFonts w:cs="Times New Roman"/>
        </w:rPr>
        <w:t xml:space="preserve">, </w:t>
      </w:r>
      <w:r>
        <w:t>Bachelor of Science - Dual Major: Economics and Business</w:t>
      </w:r>
    </w:p>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Arial Rounded MT Bold">
    <w:panose1 w:val="020F0704030504030204"/>
    <w:charset w:val="00"/>
    <w:family w:val="auto"/>
    <w:pitch w:val="default"/>
    <w:sig w:usb0="00000003" w:usb1="00000000" w:usb2="00000000" w:usb3="00000000" w:csb0="20000001" w:csb1="00000000"/>
  </w:font>
  <w:font w:name="Bahnschrift SemiBold">
    <w:panose1 w:val="020B0502040204020203"/>
    <w:charset w:val="00"/>
    <w:family w:val="auto"/>
    <w:pitch w:val="default"/>
    <w:sig w:usb0="800002C7" w:usb1="00000002" w:usb2="00000000" w:usb3="00000000" w:csb0="2000019F" w:csb1="00000000"/>
  </w:font>
  <w:font w:name="Bodoni MT Condensed">
    <w:panose1 w:val="02070606080606020203"/>
    <w:charset w:val="00"/>
    <w:family w:val="auto"/>
    <w:pitch w:val="default"/>
    <w:sig w:usb0="00000003" w:usb1="00000000" w:usb2="00000000" w:usb3="00000000" w:csb0="20000001"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F541F"/>
    <w:multiLevelType w:val="multilevel"/>
    <w:tmpl w:val="3FBF541F"/>
    <w:lvl w:ilvl="0" w:tentative="0">
      <w:start w:val="1"/>
      <w:numFmt w:val="bullet"/>
      <w:lvlText w:val=""/>
      <w:lvlJc w:val="left"/>
      <w:pPr>
        <w:ind w:left="360" w:hanging="360"/>
      </w:pPr>
      <w:rPr>
        <w:rFonts w:hint="default" w:ascii="Symbol" w:hAnsi="Symbo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DF751A8"/>
    <w:multiLevelType w:val="multilevel"/>
    <w:tmpl w:val="4DF751A8"/>
    <w:lvl w:ilvl="0" w:tentative="0">
      <w:start w:val="1"/>
      <w:numFmt w:val="bullet"/>
      <w:pStyle w:val="8"/>
      <w:lvlText w:val=""/>
      <w:lvlJc w:val="left"/>
      <w:pPr>
        <w:ind w:left="1267" w:hanging="360"/>
      </w:pPr>
      <w:rPr>
        <w:rFonts w:hint="default" w:ascii="Symbol" w:hAnsi="Symbol"/>
      </w:rPr>
    </w:lvl>
    <w:lvl w:ilvl="1" w:tentative="0">
      <w:start w:val="1"/>
      <w:numFmt w:val="bullet"/>
      <w:lvlText w:val="o"/>
      <w:lvlJc w:val="left"/>
      <w:pPr>
        <w:ind w:left="1987" w:hanging="360"/>
      </w:pPr>
      <w:rPr>
        <w:rFonts w:hint="default" w:ascii="Courier New" w:hAnsi="Courier New" w:cs="Courier New"/>
      </w:rPr>
    </w:lvl>
    <w:lvl w:ilvl="2" w:tentative="0">
      <w:start w:val="1"/>
      <w:numFmt w:val="bullet"/>
      <w:lvlText w:val=""/>
      <w:lvlJc w:val="left"/>
      <w:pPr>
        <w:ind w:left="2707" w:hanging="360"/>
      </w:pPr>
      <w:rPr>
        <w:rFonts w:hint="default" w:ascii="Wingdings" w:hAnsi="Wingdings"/>
      </w:rPr>
    </w:lvl>
    <w:lvl w:ilvl="3" w:tentative="0">
      <w:start w:val="1"/>
      <w:numFmt w:val="bullet"/>
      <w:lvlText w:val=""/>
      <w:lvlJc w:val="left"/>
      <w:pPr>
        <w:ind w:left="3427" w:hanging="360"/>
      </w:pPr>
      <w:rPr>
        <w:rFonts w:hint="default" w:ascii="Symbol" w:hAnsi="Symbol"/>
      </w:rPr>
    </w:lvl>
    <w:lvl w:ilvl="4" w:tentative="0">
      <w:start w:val="1"/>
      <w:numFmt w:val="bullet"/>
      <w:lvlText w:val="o"/>
      <w:lvlJc w:val="left"/>
      <w:pPr>
        <w:ind w:left="4147" w:hanging="360"/>
      </w:pPr>
      <w:rPr>
        <w:rFonts w:hint="default" w:ascii="Courier New" w:hAnsi="Courier New" w:cs="Courier New"/>
      </w:rPr>
    </w:lvl>
    <w:lvl w:ilvl="5" w:tentative="0">
      <w:start w:val="1"/>
      <w:numFmt w:val="bullet"/>
      <w:lvlText w:val=""/>
      <w:lvlJc w:val="left"/>
      <w:pPr>
        <w:ind w:left="4867" w:hanging="360"/>
      </w:pPr>
      <w:rPr>
        <w:rFonts w:hint="default" w:ascii="Wingdings" w:hAnsi="Wingdings"/>
      </w:rPr>
    </w:lvl>
    <w:lvl w:ilvl="6" w:tentative="0">
      <w:start w:val="1"/>
      <w:numFmt w:val="bullet"/>
      <w:lvlText w:val=""/>
      <w:lvlJc w:val="left"/>
      <w:pPr>
        <w:ind w:left="5587" w:hanging="360"/>
      </w:pPr>
      <w:rPr>
        <w:rFonts w:hint="default" w:ascii="Symbol" w:hAnsi="Symbol"/>
      </w:rPr>
    </w:lvl>
    <w:lvl w:ilvl="7" w:tentative="0">
      <w:start w:val="1"/>
      <w:numFmt w:val="bullet"/>
      <w:lvlText w:val="o"/>
      <w:lvlJc w:val="left"/>
      <w:pPr>
        <w:ind w:left="6307" w:hanging="360"/>
      </w:pPr>
      <w:rPr>
        <w:rFonts w:hint="default" w:ascii="Courier New" w:hAnsi="Courier New" w:cs="Courier New"/>
      </w:rPr>
    </w:lvl>
    <w:lvl w:ilvl="8" w:tentative="0">
      <w:start w:val="1"/>
      <w:numFmt w:val="bullet"/>
      <w:lvlText w:val=""/>
      <w:lvlJc w:val="left"/>
      <w:pPr>
        <w:ind w:left="7027"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90"/>
    <w:rsid w:val="009F0390"/>
    <w:rsid w:val="395D4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tabs>
        <w:tab w:val="left" w:pos="720"/>
        <w:tab w:val="left" w:pos="1080"/>
        <w:tab w:val="left" w:pos="1440"/>
        <w:tab w:val="left" w:pos="1800"/>
      </w:tabs>
      <w:spacing w:after="240" w:line="240" w:lineRule="auto"/>
    </w:pPr>
    <w:rPr>
      <w:rFonts w:ascii="Book Antiqua" w:hAnsi="Book Antiqua" w:eastAsia="Times New Roman" w:cs="Times New Roman"/>
      <w:sz w:val="22"/>
      <w:szCs w:val="24"/>
      <w:lang w:val="en-US" w:eastAsia="en-US" w:bidi="ar-SA"/>
    </w:rPr>
  </w:style>
  <w:style w:type="paragraph" w:styleId="2">
    <w:name w:val="heading 3"/>
    <w:next w:val="1"/>
    <w:link w:val="6"/>
    <w:qFormat/>
    <w:uiPriority w:val="0"/>
    <w:pPr>
      <w:keepNext/>
      <w:keepLines/>
      <w:spacing w:after="240" w:line="240" w:lineRule="auto"/>
      <w:outlineLvl w:val="2"/>
    </w:pPr>
    <w:rPr>
      <w:rFonts w:ascii="Arial" w:hAnsi="Arial" w:eastAsia="Times New Roman" w:cs="Times New Roman"/>
      <w:b/>
      <w:caps/>
      <w:sz w:val="24"/>
      <w:szCs w:val="24"/>
      <w:lang w:val="en-US" w:eastAsia="en-US" w:bidi="ar-SA"/>
    </w:rPr>
  </w:style>
  <w:style w:type="paragraph" w:styleId="3">
    <w:name w:val="heading 4"/>
    <w:next w:val="1"/>
    <w:link w:val="7"/>
    <w:qFormat/>
    <w:uiPriority w:val="0"/>
    <w:pPr>
      <w:keepNext/>
      <w:keepLines/>
      <w:spacing w:after="240" w:line="240" w:lineRule="auto"/>
      <w:outlineLvl w:val="3"/>
    </w:pPr>
    <w:rPr>
      <w:rFonts w:ascii="Arial" w:hAnsi="Arial" w:eastAsia="Times New Roman" w:cs="Times New Roman"/>
      <w:b/>
      <w:sz w:val="24"/>
      <w:szCs w:val="24"/>
      <w:lang w:val="en-US" w:eastAsia="en-US" w:bidi="ar-SA"/>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customStyle="1" w:styleId="6">
    <w:name w:val="Heading 3 Char"/>
    <w:basedOn w:val="4"/>
    <w:link w:val="2"/>
    <w:uiPriority w:val="0"/>
    <w:rPr>
      <w:rFonts w:ascii="Arial" w:hAnsi="Arial" w:eastAsia="Times New Roman" w:cs="Times New Roman"/>
      <w:b/>
      <w:caps/>
      <w:sz w:val="24"/>
      <w:szCs w:val="24"/>
    </w:rPr>
  </w:style>
  <w:style w:type="character" w:customStyle="1" w:styleId="7">
    <w:name w:val="Heading 4 Char"/>
    <w:basedOn w:val="4"/>
    <w:link w:val="3"/>
    <w:uiPriority w:val="0"/>
    <w:rPr>
      <w:rFonts w:ascii="Arial" w:hAnsi="Arial" w:eastAsia="Times New Roman" w:cs="Times New Roman"/>
      <w:b/>
      <w:sz w:val="24"/>
      <w:szCs w:val="24"/>
    </w:rPr>
  </w:style>
  <w:style w:type="paragraph" w:customStyle="1" w:styleId="8">
    <w:name w:val="Bullet VEC"/>
    <w:link w:val="9"/>
    <w:qFormat/>
    <w:uiPriority w:val="0"/>
    <w:pPr>
      <w:numPr>
        <w:ilvl w:val="0"/>
        <w:numId w:val="1"/>
      </w:numPr>
      <w:spacing w:after="0" w:line="240" w:lineRule="auto"/>
      <w:ind w:right="72"/>
      <w:contextualSpacing/>
    </w:pPr>
    <w:rPr>
      <w:rFonts w:ascii="Book Antiqua" w:hAnsi="Book Antiqua" w:eastAsia="Times New Roman" w:cs="Book Antiqua"/>
      <w:sz w:val="22"/>
      <w:szCs w:val="22"/>
      <w:lang w:val="en-US" w:eastAsia="en-US" w:bidi="ar-SA"/>
    </w:rPr>
  </w:style>
  <w:style w:type="character" w:customStyle="1" w:styleId="9">
    <w:name w:val="Bullet VEC Char"/>
    <w:basedOn w:val="4"/>
    <w:link w:val="8"/>
    <w:uiPriority w:val="0"/>
    <w:rPr>
      <w:rFonts w:ascii="Book Antiqua" w:hAnsi="Book Antiqua" w:eastAsia="Times New Roman" w:cs="Book Antiq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726</Words>
  <Characters>4139</Characters>
  <Lines>34</Lines>
  <Paragraphs>9</Paragraphs>
  <TotalTime>2</TotalTime>
  <ScaleCrop>false</ScaleCrop>
  <LinksUpToDate>false</LinksUpToDate>
  <CharactersWithSpaces>4856</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2020-04-27T22:06:00Z</dcterms:created>
  <dc:creator>Jean Gormley</dc:creator>
  <cp:lastModifiedBy>Jamie</cp:lastModifiedBy>
  <dcterms:modified xsi:type="dcterms:W3CDTF">2020-04-30T20:35:03Z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