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DF80" w14:textId="77777777" w:rsidR="00DA15C5" w:rsidRPr="00AB2B7C" w:rsidRDefault="00DA15C5" w:rsidP="00DA15C5">
      <w:pPr>
        <w:pStyle w:val="Heading3"/>
        <w:rPr>
          <w:rFonts w:ascii="Book Antiqua" w:hAnsi="Book Antiqua"/>
          <w:sz w:val="22"/>
          <w:szCs w:val="22"/>
        </w:rPr>
      </w:pPr>
      <w:bookmarkStart w:id="0" w:name="_Toc24640603"/>
      <w:r w:rsidRPr="00AB2B7C">
        <w:rPr>
          <w:rFonts w:ascii="Book Antiqua" w:hAnsi="Book Antiqua"/>
          <w:sz w:val="22"/>
          <w:szCs w:val="22"/>
        </w:rPr>
        <w:t>Resume of Mr. Michael C. Boismenu PE</w:t>
      </w:r>
      <w:bookmarkEnd w:id="0"/>
    </w:p>
    <w:p w14:paraId="2E5CFAC8" w14:textId="77777777" w:rsidR="00DA15C5" w:rsidRPr="00AB2B7C" w:rsidRDefault="00DA15C5" w:rsidP="00DA15C5">
      <w:pPr>
        <w:pStyle w:val="Heading4"/>
        <w:rPr>
          <w:rFonts w:ascii="Book Antiqua" w:hAnsi="Book Antiqua"/>
          <w:sz w:val="22"/>
          <w:szCs w:val="22"/>
        </w:rPr>
      </w:pPr>
      <w:bookmarkStart w:id="1" w:name="_Toc510603450"/>
      <w:bookmarkStart w:id="2" w:name="_Toc24483374"/>
      <w:bookmarkStart w:id="3" w:name="_Toc24548385"/>
      <w:bookmarkStart w:id="4" w:name="_Toc24550440"/>
      <w:bookmarkStart w:id="5" w:name="_Toc24625480"/>
      <w:bookmarkStart w:id="6" w:name="_Toc24626867"/>
      <w:bookmarkStart w:id="7" w:name="_Toc24627357"/>
      <w:bookmarkStart w:id="8" w:name="_Toc24627568"/>
      <w:bookmarkStart w:id="9" w:name="_Toc24627962"/>
      <w:bookmarkStart w:id="10" w:name="_Toc24640604"/>
      <w:r w:rsidRPr="00AB2B7C">
        <w:rPr>
          <w:rFonts w:ascii="Book Antiqua" w:hAnsi="Book Antiqua"/>
          <w:sz w:val="22"/>
          <w:szCs w:val="22"/>
        </w:rPr>
        <w:t>RELEVANT CREDENTIALS</w:t>
      </w:r>
      <w:bookmarkEnd w:id="1"/>
      <w:bookmarkEnd w:id="2"/>
      <w:bookmarkEnd w:id="3"/>
      <w:bookmarkEnd w:id="4"/>
      <w:bookmarkEnd w:id="5"/>
      <w:bookmarkEnd w:id="6"/>
      <w:bookmarkEnd w:id="7"/>
      <w:bookmarkEnd w:id="8"/>
      <w:bookmarkEnd w:id="9"/>
      <w:bookmarkEnd w:id="10"/>
    </w:p>
    <w:p w14:paraId="400D96DC" w14:textId="77777777" w:rsidR="00DA15C5" w:rsidRPr="00AB2B7C" w:rsidRDefault="00DA15C5" w:rsidP="00DA15C5">
      <w:pPr>
        <w:rPr>
          <w:szCs w:val="22"/>
        </w:rPr>
      </w:pPr>
      <w:r w:rsidRPr="00AB2B7C">
        <w:rPr>
          <w:szCs w:val="22"/>
        </w:rPr>
        <w:t>Through his career Mike has been actively involved with all phases of the electric power industry. He has successfully completed major design engineering projects, managed multi-disciplined construction projects, managed a large coal fired power plant, managed regional generation assets, and most recently provided consulting services to a variety of power industry clients. His specific power industry related experience includes the following and is further detailed below.</w:t>
      </w:r>
    </w:p>
    <w:p w14:paraId="64614558"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Selected Consulting Experience</w:t>
      </w:r>
    </w:p>
    <w:p w14:paraId="02AE2F7E"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T &amp; D System Optimization</w:t>
      </w:r>
    </w:p>
    <w:p w14:paraId="6F60A52D"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Plant Management and Operation</w:t>
      </w:r>
    </w:p>
    <w:p w14:paraId="69AD9639"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Asset Management</w:t>
      </w:r>
    </w:p>
    <w:p w14:paraId="4369089C" w14:textId="77777777" w:rsidR="00DA15C5" w:rsidRPr="00AB2B7C" w:rsidRDefault="00DA15C5" w:rsidP="00DA15C5">
      <w:pPr>
        <w:pStyle w:val="Heading3"/>
        <w:rPr>
          <w:rFonts w:ascii="Book Antiqua" w:hAnsi="Book Antiqua"/>
          <w:sz w:val="22"/>
          <w:szCs w:val="22"/>
        </w:rPr>
      </w:pPr>
      <w:bookmarkStart w:id="11" w:name="_Toc24483375"/>
      <w:bookmarkStart w:id="12" w:name="_Toc24548386"/>
      <w:bookmarkStart w:id="13" w:name="_Toc24550441"/>
      <w:bookmarkStart w:id="14" w:name="_Toc24625481"/>
      <w:bookmarkStart w:id="15" w:name="_Toc24626868"/>
      <w:bookmarkStart w:id="16" w:name="_Toc24627358"/>
      <w:bookmarkStart w:id="17" w:name="_Toc24627569"/>
      <w:bookmarkStart w:id="18" w:name="_Toc24627963"/>
      <w:bookmarkStart w:id="19" w:name="_Toc24640605"/>
      <w:r w:rsidRPr="00AB2B7C">
        <w:rPr>
          <w:rFonts w:ascii="Book Antiqua" w:hAnsi="Book Antiqua"/>
          <w:sz w:val="22"/>
          <w:szCs w:val="22"/>
        </w:rPr>
        <w:t>Selected Consulting Experience</w:t>
      </w:r>
      <w:bookmarkEnd w:id="11"/>
      <w:bookmarkEnd w:id="12"/>
      <w:bookmarkEnd w:id="13"/>
      <w:bookmarkEnd w:id="14"/>
      <w:bookmarkEnd w:id="15"/>
      <w:bookmarkEnd w:id="16"/>
      <w:bookmarkEnd w:id="17"/>
      <w:bookmarkEnd w:id="18"/>
      <w:bookmarkEnd w:id="19"/>
    </w:p>
    <w:p w14:paraId="2F7C24D6" w14:textId="77777777" w:rsidR="00DA15C5" w:rsidRPr="00AB2B7C" w:rsidRDefault="00DA15C5" w:rsidP="00DA15C5">
      <w:pPr>
        <w:rPr>
          <w:szCs w:val="22"/>
        </w:rPr>
      </w:pPr>
      <w:r w:rsidRPr="00AB2B7C">
        <w:rPr>
          <w:b/>
          <w:szCs w:val="22"/>
          <w:u w:val="single"/>
        </w:rPr>
        <w:t>Virgin Islands Power &amp; Water Authority (2014-15</w:t>
      </w:r>
      <w:r w:rsidRPr="00AB2B7C">
        <w:rPr>
          <w:b/>
          <w:szCs w:val="22"/>
        </w:rPr>
        <w:t>)</w:t>
      </w:r>
      <w:r w:rsidRPr="00AB2B7C">
        <w:rPr>
          <w:szCs w:val="22"/>
        </w:rPr>
        <w:t xml:space="preserve"> - Diagnostic audit of this electric and water utility that was facing serious financial, operational and infrastructure problems.  Vantage conducted a diagnostic audit which then focused on staffing, infrastructure, strategic planning, and other key issues.  A broad range of recommendations were developed including changes to the electric power supply, staffing, and transmission and distribution enhancements.</w:t>
      </w:r>
    </w:p>
    <w:p w14:paraId="489DE941" w14:textId="77777777" w:rsidR="00DA15C5" w:rsidRPr="00AB2B7C" w:rsidRDefault="00DA15C5" w:rsidP="00DA15C5">
      <w:pPr>
        <w:rPr>
          <w:szCs w:val="22"/>
        </w:rPr>
      </w:pPr>
      <w:r w:rsidRPr="00AB2B7C">
        <w:rPr>
          <w:b/>
          <w:szCs w:val="22"/>
          <w:u w:val="single"/>
        </w:rPr>
        <w:t>EPRI Plant Maintenance Planning (2014)</w:t>
      </w:r>
      <w:r w:rsidRPr="00AB2B7C">
        <w:rPr>
          <w:szCs w:val="22"/>
        </w:rPr>
        <w:t xml:space="preserve"> – Performed research throughout fossil industry and prepared a report on the status of non-outage power plant planning practices.  Included analysis of software systems currently utilized.</w:t>
      </w:r>
    </w:p>
    <w:p w14:paraId="6D0A2F56" w14:textId="5B30D22E" w:rsidR="00DA15C5" w:rsidRPr="00AB2B7C" w:rsidRDefault="00DA15C5" w:rsidP="00DA15C5">
      <w:pPr>
        <w:rPr>
          <w:szCs w:val="22"/>
        </w:rPr>
      </w:pPr>
      <w:r w:rsidRPr="00AB2B7C">
        <w:rPr>
          <w:b/>
          <w:szCs w:val="22"/>
          <w:u w:val="single"/>
        </w:rPr>
        <w:t>Louisville Gas &amp; Electric (2010–</w:t>
      </w:r>
      <w:r w:rsidR="007D4E52">
        <w:rPr>
          <w:b/>
          <w:szCs w:val="22"/>
          <w:u w:val="single"/>
        </w:rPr>
        <w:t>16</w:t>
      </w:r>
      <w:r w:rsidRPr="00AB2B7C">
        <w:rPr>
          <w:b/>
          <w:szCs w:val="22"/>
          <w:u w:val="single"/>
        </w:rPr>
        <w:t>) -</w:t>
      </w:r>
      <w:r w:rsidRPr="00AB2B7C">
        <w:rPr>
          <w:szCs w:val="22"/>
        </w:rPr>
        <w:t xml:space="preserve"> Provided the independent monitoring of $1 Billion air emission projects at impacted power plants to enable the Company to meet current EPA regulations.</w:t>
      </w:r>
    </w:p>
    <w:p w14:paraId="3AC6F672" w14:textId="0B523DC7" w:rsidR="00DA15C5" w:rsidRPr="00AB2B7C" w:rsidRDefault="00DA15C5" w:rsidP="00DA15C5">
      <w:pPr>
        <w:rPr>
          <w:szCs w:val="22"/>
        </w:rPr>
      </w:pPr>
      <w:r w:rsidRPr="00AB2B7C">
        <w:rPr>
          <w:b/>
          <w:szCs w:val="22"/>
          <w:u w:val="single"/>
        </w:rPr>
        <w:t>Kentucky Utilities (2010–</w:t>
      </w:r>
      <w:r w:rsidR="007D4E52">
        <w:rPr>
          <w:b/>
          <w:szCs w:val="22"/>
          <w:u w:val="single"/>
        </w:rPr>
        <w:t>16</w:t>
      </w:r>
      <w:r w:rsidRPr="00AB2B7C">
        <w:rPr>
          <w:b/>
          <w:szCs w:val="22"/>
          <w:u w:val="single"/>
        </w:rPr>
        <w:t>) -</w:t>
      </w:r>
      <w:r w:rsidRPr="00AB2B7C">
        <w:rPr>
          <w:szCs w:val="22"/>
        </w:rPr>
        <w:t xml:space="preserve"> Provided the independent monitoring of $1 Billion air emission projects at impacted power plants to enable the Company to meet current EPA regulations.</w:t>
      </w:r>
    </w:p>
    <w:p w14:paraId="7DE94528" w14:textId="77777777" w:rsidR="00DA15C5" w:rsidRPr="00AB2B7C" w:rsidRDefault="00DA15C5" w:rsidP="00DA15C5">
      <w:pPr>
        <w:rPr>
          <w:szCs w:val="22"/>
        </w:rPr>
      </w:pPr>
      <w:r w:rsidRPr="00AB2B7C">
        <w:rPr>
          <w:b/>
          <w:szCs w:val="22"/>
          <w:u w:val="single"/>
        </w:rPr>
        <w:t>Northwest Energy – Mill Creek Station (2010-12)</w:t>
      </w:r>
      <w:r w:rsidRPr="00AB2B7C">
        <w:rPr>
          <w:szCs w:val="22"/>
        </w:rPr>
        <w:t xml:space="preserve"> – Monitored the construction of this three-unit 150 MW combustion turbine power plants for the Montana Public Service Commission.  Visited construction site on a regular basis and provided input to the construction tem as well as the Montana PSC.  Reviewed quarterly reports and testified before the Commission after each report.  Provided insight on the In-service criteria and testing and other key design and operational elements.</w:t>
      </w:r>
    </w:p>
    <w:p w14:paraId="790F1640" w14:textId="77777777" w:rsidR="00DA15C5" w:rsidRPr="00AB2B7C" w:rsidRDefault="00DA15C5" w:rsidP="00DA15C5">
      <w:pPr>
        <w:rPr>
          <w:szCs w:val="22"/>
        </w:rPr>
      </w:pPr>
      <w:r w:rsidRPr="00AB2B7C">
        <w:rPr>
          <w:b/>
          <w:szCs w:val="22"/>
          <w:u w:val="single"/>
        </w:rPr>
        <w:t>Lower Colorado River Authority Audit of Affiliate Relations (2010)</w:t>
      </w:r>
      <w:r w:rsidRPr="00AB2B7C">
        <w:rPr>
          <w:szCs w:val="22"/>
        </w:rPr>
        <w:t xml:space="preserve"> – Project Manager for review of power plant cost allocations, development of cost allocation manual, and assessment of compliance with agreements with Austin Energy.</w:t>
      </w:r>
    </w:p>
    <w:p w14:paraId="52D585DE" w14:textId="1C5C8403" w:rsidR="00DA15C5" w:rsidRDefault="00DA15C5" w:rsidP="00DA15C5">
      <w:pPr>
        <w:rPr>
          <w:szCs w:val="22"/>
        </w:rPr>
      </w:pPr>
      <w:r w:rsidRPr="00AB2B7C">
        <w:rPr>
          <w:b/>
          <w:szCs w:val="22"/>
          <w:u w:val="single"/>
        </w:rPr>
        <w:lastRenderedPageBreak/>
        <w:t>Kansas City Power &amp; Light Iatan 1&amp;2 – (2008-11)</w:t>
      </w:r>
      <w:r w:rsidRPr="00AB2B7C">
        <w:rPr>
          <w:szCs w:val="22"/>
        </w:rPr>
        <w:t xml:space="preserve"> At the request of the Kansas Corporation Commission (KCC) Staff, provided oversight of the $500 million installation of an Air Quality Control System (AQCS) on the existing (KCP&amp;L) Iatan Unit 1 and monitored construction of the $2 billion Iatan Unit 2 coal fired, supercritical power plant.  Reviewed organization, cost, schedule, project controls, contractor performance, contract monitoring, site conditions, and other key attributes associated with a mega-project.  Supported the regular assessments to the KCC on progress and risks, monitored startup and acceptance testing, and provided testimony in rate cases for both Iatan 1 and 2, with recommendations for almost $240 million in prudence disallowances.</w:t>
      </w:r>
    </w:p>
    <w:p w14:paraId="24411685" w14:textId="679E1D8E" w:rsidR="009B57C8" w:rsidRPr="00AB2B7C" w:rsidRDefault="009B57C8" w:rsidP="00DA15C5">
      <w:pPr>
        <w:rPr>
          <w:szCs w:val="22"/>
        </w:rPr>
      </w:pPr>
      <w:r w:rsidRPr="009B57C8">
        <w:rPr>
          <w:b/>
          <w:u w:val="single"/>
        </w:rPr>
        <w:t>Great Plains Energy Merger (2016 -17)</w:t>
      </w:r>
      <w:r w:rsidRPr="009B57C8">
        <w:t xml:space="preserve"> - Provided the Kansas Corporation Commission with a detailed analysis of the potential impact the $14B KCP&amp;L/Westar merger will have on generation and transmission and distribution system reliability. Developed a detailed plan to monitor the transmission and distribution system reliability during the merger transition period.</w:t>
      </w:r>
    </w:p>
    <w:p w14:paraId="647D6FC9" w14:textId="77777777" w:rsidR="00DA15C5" w:rsidRPr="00AB2B7C" w:rsidRDefault="00DA15C5" w:rsidP="00DA15C5">
      <w:pPr>
        <w:pStyle w:val="Heading3"/>
        <w:rPr>
          <w:rFonts w:ascii="Book Antiqua" w:hAnsi="Book Antiqua"/>
          <w:sz w:val="22"/>
          <w:szCs w:val="22"/>
        </w:rPr>
      </w:pPr>
      <w:bookmarkStart w:id="20" w:name="_Toc24483376"/>
      <w:bookmarkStart w:id="21" w:name="_Toc24548387"/>
      <w:bookmarkStart w:id="22" w:name="_Toc24550442"/>
      <w:bookmarkStart w:id="23" w:name="_Toc24625482"/>
      <w:bookmarkStart w:id="24" w:name="_Toc24626869"/>
      <w:bookmarkStart w:id="25" w:name="_Toc24627359"/>
      <w:bookmarkStart w:id="26" w:name="_Toc24627570"/>
      <w:bookmarkStart w:id="27" w:name="_Toc24627964"/>
      <w:bookmarkStart w:id="28" w:name="_Toc24640606"/>
      <w:bookmarkStart w:id="29" w:name="_Toc510603452"/>
      <w:r w:rsidRPr="00AB2B7C">
        <w:rPr>
          <w:rFonts w:ascii="Book Antiqua" w:hAnsi="Book Antiqua"/>
          <w:sz w:val="22"/>
          <w:szCs w:val="22"/>
        </w:rPr>
        <w:t>Other Business and Professional Experience</w:t>
      </w:r>
      <w:bookmarkEnd w:id="20"/>
      <w:bookmarkEnd w:id="21"/>
      <w:bookmarkEnd w:id="22"/>
      <w:bookmarkEnd w:id="23"/>
      <w:bookmarkEnd w:id="24"/>
      <w:bookmarkEnd w:id="25"/>
      <w:bookmarkEnd w:id="26"/>
      <w:bookmarkEnd w:id="27"/>
      <w:bookmarkEnd w:id="28"/>
      <w:r w:rsidRPr="00AB2B7C">
        <w:rPr>
          <w:rFonts w:ascii="Book Antiqua" w:hAnsi="Book Antiqua"/>
          <w:sz w:val="22"/>
          <w:szCs w:val="22"/>
        </w:rPr>
        <w:t xml:space="preserve"> </w:t>
      </w:r>
      <w:bookmarkEnd w:id="29"/>
    </w:p>
    <w:p w14:paraId="3B365F91" w14:textId="77777777" w:rsidR="00DA15C5" w:rsidRPr="00AB2B7C" w:rsidRDefault="00DA15C5" w:rsidP="00DA15C5">
      <w:pPr>
        <w:pStyle w:val="Heading4"/>
        <w:rPr>
          <w:rFonts w:ascii="Book Antiqua" w:hAnsi="Book Antiqua"/>
          <w:sz w:val="22"/>
          <w:szCs w:val="22"/>
        </w:rPr>
      </w:pPr>
      <w:bookmarkStart w:id="30" w:name="_Toc510603453"/>
      <w:bookmarkStart w:id="31" w:name="_Toc24483377"/>
      <w:bookmarkStart w:id="32" w:name="_Toc24548388"/>
      <w:bookmarkStart w:id="33" w:name="_Toc24550443"/>
      <w:bookmarkStart w:id="34" w:name="_Toc24625483"/>
      <w:bookmarkStart w:id="35" w:name="_Toc24626870"/>
      <w:bookmarkStart w:id="36" w:name="_Toc24627360"/>
      <w:bookmarkStart w:id="37" w:name="_Toc24627571"/>
      <w:bookmarkStart w:id="38" w:name="_Toc24627965"/>
      <w:bookmarkStart w:id="39" w:name="_Toc24640607"/>
      <w:r w:rsidRPr="00AB2B7C">
        <w:rPr>
          <w:rFonts w:ascii="Book Antiqua" w:hAnsi="Book Antiqua"/>
          <w:sz w:val="22"/>
          <w:szCs w:val="22"/>
        </w:rPr>
        <w:t>T &amp; D System Optimization:</w:t>
      </w:r>
      <w:bookmarkEnd w:id="30"/>
      <w:bookmarkEnd w:id="31"/>
      <w:bookmarkEnd w:id="32"/>
      <w:bookmarkEnd w:id="33"/>
      <w:bookmarkEnd w:id="34"/>
      <w:bookmarkEnd w:id="35"/>
      <w:bookmarkEnd w:id="36"/>
      <w:bookmarkEnd w:id="37"/>
      <w:bookmarkEnd w:id="38"/>
      <w:bookmarkEnd w:id="39"/>
    </w:p>
    <w:p w14:paraId="2FFD0695" w14:textId="77777777" w:rsidR="00DA15C5" w:rsidRPr="00AB2B7C" w:rsidRDefault="00DA15C5" w:rsidP="00DA15C5">
      <w:pPr>
        <w:pStyle w:val="ListParagraph"/>
        <w:numPr>
          <w:ilvl w:val="0"/>
          <w:numId w:val="3"/>
        </w:numPr>
        <w:rPr>
          <w:szCs w:val="22"/>
        </w:rPr>
      </w:pPr>
      <w:r w:rsidRPr="00AB2B7C">
        <w:rPr>
          <w:szCs w:val="22"/>
        </w:rPr>
        <w:t>As the Engineering Standards Director developed materials and methods to optimize the safety, reliability and efficiency of the Niagara Mohawk T&amp;D System. Included the automation of the T&amp;D Engineering Standards development process and integrated the standards with the Work Management System.</w:t>
      </w:r>
    </w:p>
    <w:p w14:paraId="18F251DB" w14:textId="77777777" w:rsidR="00DA15C5" w:rsidRPr="00AB2B7C" w:rsidRDefault="00DA15C5" w:rsidP="00DA15C5">
      <w:pPr>
        <w:pStyle w:val="Heading4"/>
        <w:rPr>
          <w:rFonts w:ascii="Book Antiqua" w:hAnsi="Book Antiqua"/>
          <w:sz w:val="22"/>
          <w:szCs w:val="22"/>
        </w:rPr>
      </w:pPr>
      <w:bookmarkStart w:id="40" w:name="_Toc510603454"/>
      <w:bookmarkStart w:id="41" w:name="_Toc24483378"/>
      <w:bookmarkStart w:id="42" w:name="_Toc24548389"/>
      <w:bookmarkStart w:id="43" w:name="_Toc24550444"/>
      <w:bookmarkStart w:id="44" w:name="_Toc24625484"/>
      <w:bookmarkStart w:id="45" w:name="_Toc24626871"/>
      <w:bookmarkStart w:id="46" w:name="_Toc24627361"/>
      <w:bookmarkStart w:id="47" w:name="_Toc24627572"/>
      <w:bookmarkStart w:id="48" w:name="_Toc24627966"/>
      <w:bookmarkStart w:id="49" w:name="_Toc24640608"/>
      <w:r w:rsidRPr="00AB2B7C">
        <w:rPr>
          <w:rFonts w:ascii="Book Antiqua" w:hAnsi="Book Antiqua"/>
          <w:sz w:val="22"/>
          <w:szCs w:val="22"/>
        </w:rPr>
        <w:t>Plant Management and Operations:</w:t>
      </w:r>
      <w:bookmarkEnd w:id="40"/>
      <w:bookmarkEnd w:id="41"/>
      <w:bookmarkEnd w:id="42"/>
      <w:bookmarkEnd w:id="43"/>
      <w:bookmarkEnd w:id="44"/>
      <w:bookmarkEnd w:id="45"/>
      <w:bookmarkEnd w:id="46"/>
      <w:bookmarkEnd w:id="47"/>
      <w:bookmarkEnd w:id="48"/>
      <w:bookmarkEnd w:id="49"/>
    </w:p>
    <w:p w14:paraId="233AFC3A"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Provided total asset management and leadership for the Station in the evolving electric supply business;</w:t>
      </w:r>
    </w:p>
    <w:p w14:paraId="28EB035B"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Instrumental in the successful negotiation and settlement of the long-standing real estate tax litigation case with the City of Dunkirk.  Resulted in savings of $80 million through the term of the agreement;</w:t>
      </w:r>
    </w:p>
    <w:p w14:paraId="5AEC7C12"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Improved the overall image of the Company through participation in Chautauqua County Reengineering Initiative and the associated Implementation Steering Committee. The initiative resulted in a significant reduction in the size of the County government’s Executive Staff;</w:t>
      </w:r>
    </w:p>
    <w:p w14:paraId="3D60995A"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Provided the leadership to successfully transition the workforce of the power plant from the regulated electric generation business to a non-regulated electric generation environment;</w:t>
      </w:r>
    </w:p>
    <w:p w14:paraId="3DE7F13B"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Through targeted attrition and position abolishment’s reduced the staffing level of the power plant from 208 to 125 employees. This coupled with innovative partnering agreements with vendors resulted in a reduction of the Station’s Operation and Maintenance budget by 45% from the previous year’s level;</w:t>
      </w:r>
    </w:p>
    <w:p w14:paraId="061E2E9E"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lastRenderedPageBreak/>
        <w:t>Provided the organizational design to complete the safe and effective complete of the NRG Dunkirk Power Plant from eastern coal to PRB coal.</w:t>
      </w:r>
    </w:p>
    <w:p w14:paraId="4EEF1021" w14:textId="77777777" w:rsidR="00DA15C5" w:rsidRPr="00AB2B7C" w:rsidRDefault="00DA15C5" w:rsidP="00DA15C5">
      <w:pPr>
        <w:pStyle w:val="Heading4"/>
        <w:rPr>
          <w:rFonts w:ascii="Book Antiqua" w:hAnsi="Book Antiqua"/>
          <w:sz w:val="22"/>
          <w:szCs w:val="22"/>
        </w:rPr>
      </w:pPr>
      <w:bookmarkStart w:id="50" w:name="_Toc510603455"/>
      <w:bookmarkStart w:id="51" w:name="_Toc24483379"/>
      <w:bookmarkStart w:id="52" w:name="_Toc24548390"/>
      <w:bookmarkStart w:id="53" w:name="_Toc24550445"/>
      <w:bookmarkStart w:id="54" w:name="_Toc24625485"/>
      <w:bookmarkStart w:id="55" w:name="_Toc24626872"/>
      <w:bookmarkStart w:id="56" w:name="_Toc24627362"/>
      <w:bookmarkStart w:id="57" w:name="_Toc24627573"/>
      <w:bookmarkStart w:id="58" w:name="_Toc24627967"/>
      <w:bookmarkStart w:id="59" w:name="_Toc24640609"/>
      <w:r w:rsidRPr="00AB2B7C">
        <w:rPr>
          <w:rFonts w:ascii="Book Antiqua" w:hAnsi="Book Antiqua"/>
          <w:sz w:val="22"/>
          <w:szCs w:val="22"/>
        </w:rPr>
        <w:t>Asset Management:</w:t>
      </w:r>
      <w:bookmarkEnd w:id="50"/>
      <w:bookmarkEnd w:id="51"/>
      <w:bookmarkEnd w:id="52"/>
      <w:bookmarkEnd w:id="53"/>
      <w:bookmarkEnd w:id="54"/>
      <w:bookmarkEnd w:id="55"/>
      <w:bookmarkEnd w:id="56"/>
      <w:bookmarkEnd w:id="57"/>
      <w:bookmarkEnd w:id="58"/>
      <w:bookmarkEnd w:id="59"/>
    </w:p>
    <w:p w14:paraId="444AACB0"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Provided an assessment of the NRG Big Cajun II operation and maintenance process. Resulted in a significant improvement in availability and a more functional and responsive organization design;</w:t>
      </w:r>
    </w:p>
    <w:p w14:paraId="7FCFA896"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As the Regional Director of Operations in the NRG Mid-Atlantic Region. Completed an assessment of the operation and maintenance practices and made recommendation and implemented a combination of Station physical, organizational and employee development and improvement programs all of which contributed to the significant reduction it the NRG Indian River Station’s forced outage rate;</w:t>
      </w:r>
    </w:p>
    <w:p w14:paraId="5C837BBA" w14:textId="77777777" w:rsidR="00DA15C5" w:rsidRPr="00AB2B7C" w:rsidRDefault="00DA15C5" w:rsidP="00DA15C5">
      <w:pPr>
        <w:pStyle w:val="ListParagraph"/>
        <w:numPr>
          <w:ilvl w:val="0"/>
          <w:numId w:val="3"/>
        </w:numPr>
        <w:tabs>
          <w:tab w:val="clear" w:pos="720"/>
          <w:tab w:val="clear" w:pos="1080"/>
          <w:tab w:val="clear" w:pos="1440"/>
          <w:tab w:val="clear" w:pos="1800"/>
        </w:tabs>
        <w:spacing w:after="200" w:line="276" w:lineRule="auto"/>
        <w:rPr>
          <w:szCs w:val="22"/>
        </w:rPr>
      </w:pPr>
      <w:r w:rsidRPr="00AB2B7C">
        <w:rPr>
          <w:szCs w:val="22"/>
        </w:rPr>
        <w:t>As the Regional Director of Operations for the NRG New York Region, developed the Regional plan for emergence from bankruptcy, redirected the Region to assure appropriate input from each generating facility.</w:t>
      </w:r>
    </w:p>
    <w:p w14:paraId="3B2E6484" w14:textId="77777777" w:rsidR="00DA15C5" w:rsidRPr="00AB2B7C" w:rsidRDefault="00DA15C5" w:rsidP="00DA15C5">
      <w:pPr>
        <w:keepNext/>
        <w:keepLines/>
        <w:outlineLvl w:val="2"/>
        <w:rPr>
          <w:rFonts w:cs="Arial"/>
          <w:b/>
          <w:bCs/>
          <w:caps/>
          <w:szCs w:val="22"/>
        </w:rPr>
      </w:pPr>
      <w:r w:rsidRPr="00AB2B7C">
        <w:rPr>
          <w:rFonts w:cs="Arial"/>
          <w:b/>
          <w:bCs/>
          <w:caps/>
          <w:szCs w:val="22"/>
        </w:rPr>
        <w:t>Education</w:t>
      </w:r>
    </w:p>
    <w:p w14:paraId="7DD2DC8A" w14:textId="77777777" w:rsidR="00DA15C5" w:rsidRPr="00AB2B7C" w:rsidRDefault="00DA15C5" w:rsidP="00DA15C5">
      <w:pPr>
        <w:pStyle w:val="BulletVEC"/>
        <w:numPr>
          <w:ilvl w:val="0"/>
          <w:numId w:val="2"/>
        </w:numPr>
        <w:spacing w:after="120"/>
        <w:ind w:left="1080" w:right="0"/>
        <w:contextualSpacing w:val="0"/>
        <w:rPr>
          <w:rFonts w:cs="Times New Roman"/>
        </w:rPr>
      </w:pPr>
      <w:r w:rsidRPr="00AB2B7C">
        <w:rPr>
          <w:rFonts w:cs="Times New Roman"/>
        </w:rPr>
        <w:t>Associates Degree in Applied Science – Erie County Technical Institute;</w:t>
      </w:r>
    </w:p>
    <w:p w14:paraId="1D638A01" w14:textId="77777777" w:rsidR="00DA15C5" w:rsidRPr="00AB2B7C" w:rsidRDefault="00DA15C5" w:rsidP="00DA15C5">
      <w:pPr>
        <w:pStyle w:val="BulletVEC"/>
        <w:numPr>
          <w:ilvl w:val="0"/>
          <w:numId w:val="2"/>
        </w:numPr>
        <w:spacing w:after="120"/>
        <w:ind w:left="1080" w:right="0"/>
        <w:contextualSpacing w:val="0"/>
        <w:rPr>
          <w:rFonts w:cs="Times New Roman"/>
        </w:rPr>
      </w:pPr>
      <w:r w:rsidRPr="00AB2B7C">
        <w:rPr>
          <w:rFonts w:cs="Times New Roman"/>
        </w:rPr>
        <w:t>Lemoyne College – MBA in progress;</w:t>
      </w:r>
    </w:p>
    <w:p w14:paraId="0EB2032F" w14:textId="77777777" w:rsidR="00DA15C5" w:rsidRPr="00AB2B7C" w:rsidRDefault="00DA15C5" w:rsidP="00DA15C5">
      <w:pPr>
        <w:pStyle w:val="BulletVEC"/>
        <w:numPr>
          <w:ilvl w:val="0"/>
          <w:numId w:val="2"/>
        </w:numPr>
        <w:spacing w:after="120"/>
        <w:ind w:left="1080" w:right="0"/>
        <w:contextualSpacing w:val="0"/>
        <w:rPr>
          <w:rFonts w:cs="Times New Roman"/>
        </w:rPr>
      </w:pPr>
      <w:r w:rsidRPr="00AB2B7C">
        <w:rPr>
          <w:rFonts w:cs="Times New Roman"/>
        </w:rPr>
        <w:t>New York State Professional Engineer – 1987;</w:t>
      </w:r>
    </w:p>
    <w:p w14:paraId="3CF63B58" w14:textId="60B87866" w:rsidR="00DA15C5" w:rsidRDefault="00DA15C5" w:rsidP="004E5D4F">
      <w:pPr>
        <w:pStyle w:val="BulletVEC"/>
        <w:numPr>
          <w:ilvl w:val="0"/>
          <w:numId w:val="2"/>
        </w:numPr>
        <w:spacing w:after="120"/>
        <w:ind w:left="1080" w:right="0"/>
        <w:contextualSpacing w:val="0"/>
      </w:pPr>
      <w:r w:rsidRPr="00AB2B7C">
        <w:rPr>
          <w:rFonts w:cs="Times New Roman"/>
        </w:rPr>
        <w:t>Significant in-service professional training.</w:t>
      </w:r>
      <w:r w:rsidRPr="00AB2B7C">
        <w:br/>
      </w:r>
    </w:p>
    <w:sectPr w:rsidR="00DA15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8E68" w14:textId="77777777" w:rsidR="000A6145" w:rsidRDefault="000A6145">
      <w:pPr>
        <w:spacing w:after="0"/>
      </w:pPr>
      <w:r>
        <w:separator/>
      </w:r>
    </w:p>
  </w:endnote>
  <w:endnote w:type="continuationSeparator" w:id="0">
    <w:p w14:paraId="13F324A5" w14:textId="77777777" w:rsidR="000A6145" w:rsidRDefault="000A6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2808" w14:textId="77777777" w:rsidR="000A6145" w:rsidRDefault="000A6145">
      <w:pPr>
        <w:spacing w:after="0"/>
      </w:pPr>
      <w:r>
        <w:separator/>
      </w:r>
    </w:p>
  </w:footnote>
  <w:footnote w:type="continuationSeparator" w:id="0">
    <w:p w14:paraId="24EC7EB0" w14:textId="77777777" w:rsidR="000A6145" w:rsidRDefault="000A6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DC63" w14:textId="77777777" w:rsidR="00E75D4F" w:rsidRDefault="000A6145" w:rsidP="000A1DFE">
    <w:pPr>
      <w:pStyle w:val="Header"/>
      <w:pBdr>
        <w:bottom w:val="thickThinSmallGap" w:sz="24" w:space="1" w:color="823B0B" w:themeColor="accent2" w:themeShade="7F"/>
      </w:pBdr>
      <w:jc w:val="center"/>
      <w:rPr>
        <w:rFonts w:eastAsiaTheme="majorEastAsia" w:cstheme="majorBidi"/>
        <w:szCs w:val="22"/>
      </w:rPr>
    </w:pPr>
    <w:sdt>
      <w:sdtPr>
        <w:rPr>
          <w:rFonts w:eastAsiaTheme="majorEastAsia" w:cstheme="majorBidi"/>
          <w:szCs w:val="22"/>
        </w:rPr>
        <w:alias w:val="Title"/>
        <w:id w:val="-1718047904"/>
        <w:showingPlcHdr/>
        <w:dataBinding w:prefixMappings="xmlns:ns0='http://schemas.openxmlformats.org/package/2006/metadata/core-properties' xmlns:ns1='http://purl.org/dc/elements/1.1/'" w:xpath="/ns0:coreProperties[1]/ns1:title[1]" w:storeItemID="{6C3C8BC8-F283-45AE-878A-BAB7291924A1}"/>
        <w:text/>
      </w:sdtPr>
      <w:sdtEndPr/>
      <w:sdtContent>
        <w:r w:rsidR="00DA15C5">
          <w:rPr>
            <w:rFonts w:eastAsiaTheme="majorEastAsia" w:cstheme="majorBidi"/>
            <w:szCs w:val="22"/>
          </w:rPr>
          <w:t xml:space="preserve">     </w:t>
        </w:r>
      </w:sdtContent>
    </w:sdt>
    <w:r w:rsidR="00DA15C5">
      <w:rPr>
        <w:rFonts w:eastAsiaTheme="majorEastAsia" w:cstheme="majorBidi"/>
        <w:szCs w:val="22"/>
      </w:rPr>
      <w:t xml:space="preserve"> – Contract 2020-001</w:t>
    </w:r>
  </w:p>
  <w:p w14:paraId="275B9BE1" w14:textId="77777777" w:rsidR="00E75D4F" w:rsidRPr="00A77ACA" w:rsidRDefault="00DA15C5" w:rsidP="000A1DFE">
    <w:pPr>
      <w:pStyle w:val="Header"/>
      <w:rPr>
        <w:rFonts w:eastAsia="Calibri"/>
        <w:u w:val="single"/>
      </w:rPr>
    </w:pPr>
    <w:r w:rsidRPr="00A77ACA">
      <w:rPr>
        <w:rFonts w:eastAsia="Calibri"/>
        <w:u w:val="single"/>
      </w:rPr>
      <w:t xml:space="preserve">Resume of </w:t>
    </w:r>
    <w:r>
      <w:rPr>
        <w:rFonts w:eastAsia="Calibri"/>
        <w:u w:val="single"/>
      </w:rPr>
      <w:t>Mike Boismenu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541F"/>
    <w:multiLevelType w:val="hybridMultilevel"/>
    <w:tmpl w:val="F15E2C2A"/>
    <w:lvl w:ilvl="0" w:tplc="9BA805CA">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abstractNum w:abstractNumId="2" w15:restartNumberingAfterBreak="0">
    <w:nsid w:val="52AB4007"/>
    <w:multiLevelType w:val="hybridMultilevel"/>
    <w:tmpl w:val="265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C5"/>
    <w:rsid w:val="000A6145"/>
    <w:rsid w:val="00441469"/>
    <w:rsid w:val="006727C7"/>
    <w:rsid w:val="007D4E52"/>
    <w:rsid w:val="009B57C8"/>
    <w:rsid w:val="00AB2B7C"/>
    <w:rsid w:val="00DA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16C2"/>
  <w15:chartTrackingRefBased/>
  <w15:docId w15:val="{C9A57252-E347-45F4-949E-9C814C7D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C5"/>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DA15C5"/>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DA15C5"/>
    <w:pPr>
      <w:keepNext/>
      <w:keepLines/>
      <w:spacing w:after="24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DA15C5"/>
    <w:rPr>
      <w:rFonts w:ascii="Arial" w:eastAsia="Times New Roman" w:hAnsi="Arial" w:cs="Times New Roman"/>
      <w:b/>
      <w:caps/>
      <w:sz w:val="24"/>
      <w:szCs w:val="24"/>
    </w:rPr>
  </w:style>
  <w:style w:type="character" w:customStyle="1" w:styleId="Heading4Char">
    <w:name w:val="Heading 4 Char"/>
    <w:basedOn w:val="DefaultParagraphFont"/>
    <w:link w:val="Heading4"/>
    <w:rsid w:val="00DA15C5"/>
    <w:rPr>
      <w:rFonts w:ascii="Arial" w:eastAsia="Times New Roman" w:hAnsi="Arial" w:cs="Times New Roman"/>
      <w:b/>
      <w:sz w:val="24"/>
      <w:szCs w:val="24"/>
    </w:rPr>
  </w:style>
  <w:style w:type="paragraph" w:styleId="Header">
    <w:name w:val="header"/>
    <w:aliases w:val="HeaderforTofC"/>
    <w:basedOn w:val="Normal"/>
    <w:link w:val="HeaderChar"/>
    <w:uiPriority w:val="99"/>
    <w:rsid w:val="00DA15C5"/>
    <w:pPr>
      <w:tabs>
        <w:tab w:val="clear" w:pos="720"/>
        <w:tab w:val="clear" w:pos="1080"/>
        <w:tab w:val="clear" w:pos="1440"/>
        <w:tab w:val="clear" w:pos="1800"/>
        <w:tab w:val="center" w:pos="4320"/>
        <w:tab w:val="right" w:pos="8640"/>
      </w:tabs>
    </w:pPr>
  </w:style>
  <w:style w:type="character" w:customStyle="1" w:styleId="HeaderChar">
    <w:name w:val="Header Char"/>
    <w:aliases w:val="HeaderforTofC Char"/>
    <w:basedOn w:val="DefaultParagraphFont"/>
    <w:link w:val="Header"/>
    <w:uiPriority w:val="99"/>
    <w:rsid w:val="00DA15C5"/>
    <w:rPr>
      <w:rFonts w:ascii="Book Antiqua" w:eastAsia="Times New Roman" w:hAnsi="Book Antiqua" w:cs="Times New Roman"/>
      <w:szCs w:val="24"/>
    </w:rPr>
  </w:style>
  <w:style w:type="paragraph" w:styleId="ListParagraph">
    <w:name w:val="List Paragraph"/>
    <w:basedOn w:val="Normal"/>
    <w:link w:val="ListParagraphChar"/>
    <w:uiPriority w:val="1"/>
    <w:qFormat/>
    <w:rsid w:val="00DA15C5"/>
    <w:pPr>
      <w:ind w:left="720"/>
      <w:contextualSpacing/>
    </w:pPr>
  </w:style>
  <w:style w:type="paragraph" w:customStyle="1" w:styleId="BulletVEC">
    <w:name w:val="Bullet VEC"/>
    <w:link w:val="BulletVECChar"/>
    <w:qFormat/>
    <w:rsid w:val="00DA15C5"/>
    <w:pPr>
      <w:numPr>
        <w:numId w:val="1"/>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DA15C5"/>
    <w:rPr>
      <w:rFonts w:ascii="Book Antiqua" w:eastAsia="Times New Roman" w:hAnsi="Book Antiqua" w:cs="Book Antiqua"/>
    </w:rPr>
  </w:style>
  <w:style w:type="character" w:customStyle="1" w:styleId="ListParagraphChar">
    <w:name w:val="List Paragraph Char"/>
    <w:basedOn w:val="DefaultParagraphFont"/>
    <w:link w:val="ListParagraph"/>
    <w:uiPriority w:val="1"/>
    <w:rsid w:val="00DA15C5"/>
    <w:rPr>
      <w:rFonts w:ascii="Book Antiqua" w:eastAsia="Times New Roman"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Walter Drabinski</cp:lastModifiedBy>
  <cp:revision>3</cp:revision>
  <dcterms:created xsi:type="dcterms:W3CDTF">2020-04-30T04:26:00Z</dcterms:created>
  <dcterms:modified xsi:type="dcterms:W3CDTF">2020-08-10T20:19:00Z</dcterms:modified>
</cp:coreProperties>
</file>