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F970E" w14:textId="77777777" w:rsidR="0074112E" w:rsidRPr="006F3D88" w:rsidRDefault="0074112E" w:rsidP="0074112E">
      <w:pPr>
        <w:pStyle w:val="Heading3"/>
      </w:pPr>
      <w:bookmarkStart w:id="0" w:name="_Toc454893304"/>
      <w:bookmarkStart w:id="1" w:name="_Toc12039105"/>
      <w:bookmarkStart w:id="2" w:name="_Toc24640583"/>
      <w:r w:rsidRPr="006F3D88">
        <w:t>Resume of Mr. Chuck Buechel</w:t>
      </w:r>
      <w:bookmarkEnd w:id="0"/>
      <w:bookmarkEnd w:id="1"/>
      <w:bookmarkEnd w:id="2"/>
    </w:p>
    <w:p w14:paraId="3E32A829" w14:textId="77777777" w:rsidR="0074112E" w:rsidRPr="006F3D88" w:rsidRDefault="0074112E" w:rsidP="0074112E">
      <w:pPr>
        <w:pStyle w:val="Heading4"/>
      </w:pPr>
      <w:bookmarkStart w:id="3" w:name="_Toc12035476"/>
      <w:bookmarkStart w:id="4" w:name="_Toc12036018"/>
      <w:bookmarkStart w:id="5" w:name="_Toc12038414"/>
      <w:bookmarkStart w:id="6" w:name="_Toc12039106"/>
      <w:bookmarkStart w:id="7" w:name="_Toc24483363"/>
      <w:bookmarkStart w:id="8" w:name="_Toc24548374"/>
      <w:bookmarkStart w:id="9" w:name="_Toc24550420"/>
      <w:bookmarkStart w:id="10" w:name="_Toc24625460"/>
      <w:bookmarkStart w:id="11" w:name="_Toc24626847"/>
      <w:bookmarkStart w:id="12" w:name="_Toc24627337"/>
      <w:bookmarkStart w:id="13" w:name="_Toc24627548"/>
      <w:bookmarkStart w:id="14" w:name="_Toc24627942"/>
      <w:bookmarkStart w:id="15" w:name="_Toc24640584"/>
      <w:r>
        <w:t>Areas of Specialization</w:t>
      </w:r>
      <w:bookmarkEnd w:id="3"/>
      <w:bookmarkEnd w:id="4"/>
      <w:bookmarkEnd w:id="5"/>
      <w:bookmarkEnd w:id="6"/>
      <w:bookmarkEnd w:id="7"/>
      <w:bookmarkEnd w:id="8"/>
      <w:bookmarkEnd w:id="9"/>
      <w:bookmarkEnd w:id="10"/>
      <w:bookmarkEnd w:id="11"/>
      <w:bookmarkEnd w:id="12"/>
      <w:bookmarkEnd w:id="13"/>
      <w:bookmarkEnd w:id="14"/>
      <w:bookmarkEnd w:id="15"/>
    </w:p>
    <w:p w14:paraId="386A0FF3" w14:textId="77777777" w:rsidR="0074112E" w:rsidRPr="0074112E" w:rsidRDefault="0074112E" w:rsidP="0074112E">
      <w:pPr>
        <w:rPr>
          <w:szCs w:val="22"/>
        </w:rPr>
      </w:pPr>
      <w:r w:rsidRPr="0074112E">
        <w:rPr>
          <w:szCs w:val="22"/>
        </w:rPr>
        <w:t>Mr. Buechel has worked on numerous consulting assignments for electric, gas, water, and telephone utilities.  The primary focus of many of these assignments has been regulatory matters; however, he has consulted on other matters, including corporate and strategic planning, incentive regulation, least-cost planning, workforce management, customer operations and competitive bidding.</w:t>
      </w:r>
    </w:p>
    <w:p w14:paraId="57F2BC0F" w14:textId="77777777" w:rsidR="0074112E" w:rsidRPr="0074112E" w:rsidRDefault="0074112E" w:rsidP="0074112E">
      <w:pPr>
        <w:rPr>
          <w:szCs w:val="22"/>
        </w:rPr>
      </w:pPr>
      <w:r w:rsidRPr="0074112E">
        <w:rPr>
          <w:szCs w:val="22"/>
        </w:rPr>
        <w:t>Prior to consulting, Mr. Buechel spent over nine years on the Staff of the Kentucky Public Service Commission.  During his tenure at the Commission, he was public utility economist, Director of Research Division, and Deputy Executive Director.  His assignments at the Commission included:  the preparation of an integrated resource planning regulation; coordinating a statewide load management committee to investigate time-of-day rates and other load management issues; directing staff in rate cases and special investigations; writing orders as directed by the Commission; establishing a management audit program; and testifying in selected cases.</w:t>
      </w:r>
    </w:p>
    <w:p w14:paraId="1625830A" w14:textId="77777777" w:rsidR="0074112E" w:rsidRDefault="0074112E" w:rsidP="0074112E">
      <w:pPr>
        <w:pStyle w:val="Heading4"/>
      </w:pPr>
      <w:bookmarkStart w:id="16" w:name="_Toc12035477"/>
      <w:bookmarkStart w:id="17" w:name="_Toc12036019"/>
      <w:bookmarkStart w:id="18" w:name="_Toc12038415"/>
      <w:bookmarkStart w:id="19" w:name="_Toc12039107"/>
      <w:bookmarkStart w:id="20" w:name="_Toc24483364"/>
      <w:bookmarkStart w:id="21" w:name="_Toc24548375"/>
      <w:bookmarkStart w:id="22" w:name="_Toc24550421"/>
      <w:bookmarkStart w:id="23" w:name="_Toc24625461"/>
      <w:bookmarkStart w:id="24" w:name="_Toc24626848"/>
      <w:bookmarkStart w:id="25" w:name="_Toc24627338"/>
      <w:bookmarkStart w:id="26" w:name="_Toc24627549"/>
      <w:bookmarkStart w:id="27" w:name="_Toc24627943"/>
      <w:bookmarkStart w:id="28" w:name="_Toc24640585"/>
      <w:r>
        <w:t>Selected Consulting Experience</w:t>
      </w:r>
      <w:bookmarkEnd w:id="16"/>
      <w:bookmarkEnd w:id="17"/>
      <w:bookmarkEnd w:id="18"/>
      <w:bookmarkEnd w:id="19"/>
      <w:bookmarkEnd w:id="20"/>
      <w:bookmarkEnd w:id="21"/>
      <w:bookmarkEnd w:id="22"/>
      <w:bookmarkEnd w:id="23"/>
      <w:bookmarkEnd w:id="24"/>
      <w:bookmarkEnd w:id="25"/>
      <w:bookmarkEnd w:id="26"/>
      <w:bookmarkEnd w:id="27"/>
      <w:bookmarkEnd w:id="28"/>
    </w:p>
    <w:p w14:paraId="3820C637" w14:textId="77777777" w:rsidR="0074112E" w:rsidRPr="0074112E" w:rsidRDefault="0074112E" w:rsidP="0074112E">
      <w:pPr>
        <w:rPr>
          <w:szCs w:val="22"/>
        </w:rPr>
      </w:pPr>
      <w:r w:rsidRPr="0074112E">
        <w:rPr>
          <w:b/>
          <w:szCs w:val="22"/>
          <w:u w:val="single"/>
        </w:rPr>
        <w:t>Virgin Islands Water &amp; Power Authority</w:t>
      </w:r>
      <w:r w:rsidRPr="0074112E">
        <w:rPr>
          <w:szCs w:val="22"/>
        </w:rPr>
        <w:t xml:space="preserve"> – Consultant for diagnostic audit of WAPA.  Areas of responsibility for the audit included regulatory, external communications and various support services including facilities management, transportation, real estate and land management, records management, and security of business infrastructure.</w:t>
      </w:r>
    </w:p>
    <w:p w14:paraId="5C60EC91" w14:textId="77777777" w:rsidR="0074112E" w:rsidRPr="0074112E" w:rsidRDefault="0074112E" w:rsidP="0074112E">
      <w:pPr>
        <w:rPr>
          <w:szCs w:val="22"/>
        </w:rPr>
      </w:pPr>
      <w:r w:rsidRPr="0074112E">
        <w:rPr>
          <w:b/>
          <w:szCs w:val="22"/>
          <w:u w:val="single"/>
        </w:rPr>
        <w:t>Connecticut Department of Public Utility Control</w:t>
      </w:r>
      <w:r w:rsidRPr="0074112E">
        <w:rPr>
          <w:szCs w:val="22"/>
        </w:rPr>
        <w:t xml:space="preserve"> – Senior Consultant for a management audit of United Illuminating Company. Primary responsibilities included a review and analysis of planning documents and processes used in the development of long-term plans.</w:t>
      </w:r>
    </w:p>
    <w:p w14:paraId="0D60668C" w14:textId="77777777" w:rsidR="0074112E" w:rsidRPr="0074112E" w:rsidRDefault="0074112E" w:rsidP="0074112E">
      <w:pPr>
        <w:rPr>
          <w:iCs/>
          <w:szCs w:val="22"/>
        </w:rPr>
      </w:pPr>
      <w:r w:rsidRPr="0074112E">
        <w:rPr>
          <w:b/>
          <w:bCs/>
          <w:szCs w:val="22"/>
          <w:u w:val="single"/>
        </w:rPr>
        <w:t>Seattle City Light</w:t>
      </w:r>
      <w:r w:rsidRPr="0074112E">
        <w:rPr>
          <w:b/>
          <w:bCs/>
          <w:i/>
          <w:szCs w:val="22"/>
        </w:rPr>
        <w:t xml:space="preserve"> – </w:t>
      </w:r>
      <w:r w:rsidRPr="0074112E">
        <w:rPr>
          <w:iCs/>
          <w:szCs w:val="22"/>
        </w:rPr>
        <w:t>Retained by the City Council to perform an audit of the municipally-owned Seattle City Light electric utility.  Assigned issue was governance of the municipal utility.  The audit yielded recommendations for training the council members to better understand the issues and to add additional resources for oversight of the utility.</w:t>
      </w:r>
    </w:p>
    <w:p w14:paraId="464AC39A" w14:textId="77777777" w:rsidR="0074112E" w:rsidRPr="0074112E" w:rsidRDefault="0074112E" w:rsidP="0074112E">
      <w:pPr>
        <w:rPr>
          <w:szCs w:val="22"/>
        </w:rPr>
      </w:pPr>
      <w:r w:rsidRPr="0074112E">
        <w:rPr>
          <w:b/>
          <w:bCs/>
          <w:szCs w:val="22"/>
          <w:u w:val="single"/>
        </w:rPr>
        <w:t>Federal Energy Regulatory Commission</w:t>
      </w:r>
      <w:r w:rsidRPr="0074112E">
        <w:rPr>
          <w:szCs w:val="22"/>
        </w:rPr>
        <w:t xml:space="preserve"> – Senior Consultant for an operational audit of the California Independent System Operator.  The audit was performed for FERC.  Assigned issues of primary focus were market design, the relationships among the parties and governance of the ISO.</w:t>
      </w:r>
    </w:p>
    <w:p w14:paraId="3D3ED45F" w14:textId="77777777" w:rsidR="0074112E" w:rsidRPr="0074112E" w:rsidRDefault="0074112E" w:rsidP="0074112E">
      <w:pPr>
        <w:rPr>
          <w:szCs w:val="22"/>
        </w:rPr>
      </w:pPr>
      <w:r w:rsidRPr="0074112E">
        <w:rPr>
          <w:b/>
          <w:szCs w:val="22"/>
          <w:u w:val="single"/>
        </w:rPr>
        <w:t>Columbia Gas of Ohio, Inc.</w:t>
      </w:r>
      <w:r w:rsidRPr="0074112E">
        <w:rPr>
          <w:b/>
          <w:i/>
          <w:szCs w:val="22"/>
        </w:rPr>
        <w:t xml:space="preserve"> - </w:t>
      </w:r>
      <w:r w:rsidRPr="0074112E">
        <w:rPr>
          <w:szCs w:val="22"/>
        </w:rPr>
        <w:t>Consultant for its management and operations audit.  The audit was for the Public Utility Commission of Ohio.  Areas of responsibility include requirements forecasting and flexible transportation program.</w:t>
      </w:r>
    </w:p>
    <w:p w14:paraId="2E6609CB" w14:textId="77777777" w:rsidR="0074112E" w:rsidRPr="0074112E" w:rsidRDefault="0074112E" w:rsidP="0074112E">
      <w:pPr>
        <w:rPr>
          <w:szCs w:val="22"/>
        </w:rPr>
      </w:pPr>
      <w:r w:rsidRPr="0074112E">
        <w:rPr>
          <w:b/>
          <w:szCs w:val="22"/>
          <w:u w:val="single"/>
        </w:rPr>
        <w:t>Pennsylvania Gas &amp; Water Company</w:t>
      </w:r>
      <w:r w:rsidRPr="0074112E">
        <w:rPr>
          <w:b/>
          <w:i/>
          <w:szCs w:val="22"/>
        </w:rPr>
        <w:t xml:space="preserve"> - </w:t>
      </w:r>
      <w:r w:rsidRPr="0074112E">
        <w:rPr>
          <w:szCs w:val="22"/>
        </w:rPr>
        <w:t>Consultant</w:t>
      </w:r>
      <w:r w:rsidRPr="0074112E">
        <w:rPr>
          <w:i/>
          <w:szCs w:val="22"/>
        </w:rPr>
        <w:t xml:space="preserve"> </w:t>
      </w:r>
      <w:r w:rsidRPr="0074112E">
        <w:rPr>
          <w:szCs w:val="22"/>
        </w:rPr>
        <w:t>for a comprehensive management audit.  The audit is being performed for the Pennsylvania Public Utilities Commission.  Areas of responsibility include requirements forecasting, rates and regulatory relations, and financial management and planning.</w:t>
      </w:r>
    </w:p>
    <w:p w14:paraId="1B927CF3" w14:textId="77777777" w:rsidR="0074112E" w:rsidRPr="0074112E" w:rsidRDefault="0074112E" w:rsidP="0074112E">
      <w:pPr>
        <w:rPr>
          <w:szCs w:val="22"/>
        </w:rPr>
      </w:pPr>
      <w:r w:rsidRPr="0074112E">
        <w:rPr>
          <w:b/>
          <w:szCs w:val="22"/>
          <w:u w:val="single"/>
        </w:rPr>
        <w:lastRenderedPageBreak/>
        <w:t>Southern California Edison</w:t>
      </w:r>
      <w:r w:rsidRPr="0074112E">
        <w:rPr>
          <w:szCs w:val="22"/>
        </w:rPr>
        <w:t xml:space="preserve"> – Senior Consultant for an audit of a regulatory mechanism that had been established to encourage adequate investment in the SCE transmission and distribution systems for maintaining and improving the system’s reliability performance.</w:t>
      </w:r>
    </w:p>
    <w:p w14:paraId="5DD045B3" w14:textId="77777777" w:rsidR="0074112E" w:rsidRPr="0074112E" w:rsidRDefault="0074112E" w:rsidP="0074112E">
      <w:pPr>
        <w:rPr>
          <w:szCs w:val="22"/>
        </w:rPr>
      </w:pPr>
      <w:r w:rsidRPr="0074112E">
        <w:rPr>
          <w:b/>
          <w:szCs w:val="22"/>
          <w:u w:val="single"/>
        </w:rPr>
        <w:t>San Diego Gas &amp; Electric Company</w:t>
      </w:r>
      <w:r w:rsidRPr="0074112E">
        <w:rPr>
          <w:szCs w:val="22"/>
        </w:rPr>
        <w:t xml:space="preserve"> - Consultant responsible for mid-term evaluation of the Company’s Base Rates Performance-Based Ratemaking mechanism which included analysis and assessment in the areas of price and corporate performance including reliability.</w:t>
      </w:r>
    </w:p>
    <w:p w14:paraId="1A0ED28D" w14:textId="77777777" w:rsidR="0074112E" w:rsidRPr="0074112E" w:rsidRDefault="0074112E" w:rsidP="0074112E">
      <w:pPr>
        <w:rPr>
          <w:szCs w:val="22"/>
        </w:rPr>
      </w:pPr>
      <w:r w:rsidRPr="0074112E">
        <w:rPr>
          <w:b/>
          <w:szCs w:val="22"/>
          <w:u w:val="single"/>
        </w:rPr>
        <w:t>Louisville Gas and Electric Company</w:t>
      </w:r>
      <w:r w:rsidRPr="0074112E">
        <w:rPr>
          <w:szCs w:val="22"/>
        </w:rPr>
        <w:t xml:space="preserve"> - Lead Consultant in the preparation of its application to establish a holding company.  The application included proposed guidelines to be used in financial dealings between the subsidiary companies, as well as the allocation of costs between the companies.</w:t>
      </w:r>
    </w:p>
    <w:p w14:paraId="45B01BA0" w14:textId="77777777" w:rsidR="0074112E" w:rsidRPr="0074112E" w:rsidRDefault="0074112E" w:rsidP="0074112E">
      <w:pPr>
        <w:rPr>
          <w:iCs/>
          <w:szCs w:val="22"/>
        </w:rPr>
      </w:pPr>
      <w:r w:rsidRPr="0074112E">
        <w:rPr>
          <w:b/>
          <w:iCs/>
          <w:szCs w:val="22"/>
          <w:u w:val="single"/>
        </w:rPr>
        <w:t>Kentucky Public Service Commission</w:t>
      </w:r>
      <w:r w:rsidRPr="0074112E">
        <w:rPr>
          <w:iCs/>
          <w:szCs w:val="22"/>
        </w:rPr>
        <w:t xml:space="preserve"> – Advisor to KPSC in an extended Staff role to assist with the evaluation of the environmental compliance plans submitted by the following: Big Rivers Electric Corporation, Kentucky Power Company, Louisville Gas and Electric Company and Kentucky Utilities Company.</w:t>
      </w:r>
    </w:p>
    <w:p w14:paraId="1020B001" w14:textId="77777777" w:rsidR="0074112E" w:rsidRPr="0074112E" w:rsidRDefault="0074112E" w:rsidP="0074112E">
      <w:pPr>
        <w:rPr>
          <w:szCs w:val="22"/>
        </w:rPr>
      </w:pPr>
      <w:r w:rsidRPr="0074112E">
        <w:rPr>
          <w:b/>
          <w:szCs w:val="22"/>
          <w:u w:val="single"/>
        </w:rPr>
        <w:t>Big Rivers Electric Corporation</w:t>
      </w:r>
      <w:r w:rsidRPr="0074112E">
        <w:rPr>
          <w:szCs w:val="22"/>
        </w:rPr>
        <w:t xml:space="preserve"> – Regulatory advisor for the presentation of Big Rivers’ Unwind proposal to Kentucky Public Service Commission.</w:t>
      </w:r>
    </w:p>
    <w:p w14:paraId="510CD8E6" w14:textId="77777777" w:rsidR="0074112E" w:rsidRPr="0074112E" w:rsidRDefault="0074112E" w:rsidP="0074112E">
      <w:pPr>
        <w:rPr>
          <w:szCs w:val="22"/>
        </w:rPr>
      </w:pPr>
      <w:r w:rsidRPr="0074112E">
        <w:rPr>
          <w:b/>
          <w:szCs w:val="22"/>
          <w:u w:val="single"/>
        </w:rPr>
        <w:t>Kentucky Public Service Commission</w:t>
      </w:r>
      <w:r w:rsidRPr="0074112E">
        <w:rPr>
          <w:szCs w:val="22"/>
        </w:rPr>
        <w:t xml:space="preserve"> – Witness before Federal Energy Regulatory Commission regarding the need for KPSC approval of AEP’s membership in PJM.</w:t>
      </w:r>
    </w:p>
    <w:p w14:paraId="74E9D4C8" w14:textId="77777777" w:rsidR="0074112E" w:rsidRPr="0074112E" w:rsidRDefault="0074112E" w:rsidP="0074112E">
      <w:pPr>
        <w:rPr>
          <w:szCs w:val="22"/>
        </w:rPr>
      </w:pPr>
      <w:r w:rsidRPr="0074112E">
        <w:rPr>
          <w:b/>
          <w:szCs w:val="22"/>
          <w:u w:val="single"/>
        </w:rPr>
        <w:t>North American Stainless</w:t>
      </w:r>
      <w:r w:rsidRPr="0074112E">
        <w:rPr>
          <w:szCs w:val="22"/>
        </w:rPr>
        <w:t xml:space="preserve"> – Witness for NAS in Kentucky Utilities Company Case No. 2003-00434 regarding KU’s proposed Non-Conforming Load Tariff.</w:t>
      </w:r>
    </w:p>
    <w:p w14:paraId="4994E5B5" w14:textId="77777777" w:rsidR="0074112E" w:rsidRPr="0074112E" w:rsidRDefault="0074112E" w:rsidP="0074112E">
      <w:pPr>
        <w:rPr>
          <w:szCs w:val="22"/>
        </w:rPr>
      </w:pPr>
      <w:r w:rsidRPr="0074112E">
        <w:rPr>
          <w:b/>
          <w:bCs/>
          <w:iCs/>
          <w:szCs w:val="22"/>
          <w:u w:val="single"/>
        </w:rPr>
        <w:t>Delaware Public Service Commission</w:t>
      </w:r>
      <w:r w:rsidRPr="0074112E">
        <w:rPr>
          <w:szCs w:val="22"/>
        </w:rPr>
        <w:t xml:space="preserve"> – Monitored all RFP solicitations for 2006 bid year.   Provided oversight on bid day, reviewed applications, provided confidential analysis and briefings to the Commissioners and testified on results.</w:t>
      </w:r>
    </w:p>
    <w:p w14:paraId="703D1DB4" w14:textId="77777777" w:rsidR="0074112E" w:rsidRPr="0074112E" w:rsidRDefault="0074112E" w:rsidP="0074112E">
      <w:pPr>
        <w:rPr>
          <w:szCs w:val="22"/>
        </w:rPr>
      </w:pPr>
      <w:r w:rsidRPr="0074112E">
        <w:rPr>
          <w:b/>
          <w:bCs/>
          <w:iCs/>
          <w:szCs w:val="22"/>
          <w:u w:val="single"/>
        </w:rPr>
        <w:t>Maryland Public Service Commission</w:t>
      </w:r>
      <w:r w:rsidRPr="0074112E">
        <w:rPr>
          <w:szCs w:val="22"/>
        </w:rPr>
        <w:t xml:space="preserve"> – Monitored all RFP solicitations for 2007 and 2008 bid years.  This amounted to nine solicitations for all four utilities in Maryland.  Provided oversight on bid day, reviewed applications, provided confidential analysis and briefings to the Commissioners on results.</w:t>
      </w:r>
    </w:p>
    <w:p w14:paraId="73A97122" w14:textId="77777777" w:rsidR="0074112E" w:rsidRPr="0074112E" w:rsidRDefault="0074112E" w:rsidP="0074112E">
      <w:pPr>
        <w:spacing w:after="120"/>
        <w:rPr>
          <w:szCs w:val="22"/>
        </w:rPr>
      </w:pPr>
      <w:r w:rsidRPr="0074112E">
        <w:rPr>
          <w:b/>
          <w:szCs w:val="22"/>
          <w:u w:val="single"/>
        </w:rPr>
        <w:t xml:space="preserve">Long Island Power Authority Emergency Preparedness and Storm Restoration </w:t>
      </w:r>
      <w:r w:rsidRPr="0074112E">
        <w:rPr>
          <w:szCs w:val="22"/>
        </w:rPr>
        <w:t xml:space="preserve">– Audit for the NY Department of Public Service to perform a comprehensive assessment of LIPA’s operations with a particular focus on storm response. The project addressed all aspects of emergency response planning, preparedness and training, emergency response execution, communications with state and local governments, media and customers concerning storm damage, restoration priorities and restoration timetables, coordination of emergency response efforts with state and local governments, securing and managing outside work crews, and tree trimming and vegetation management policies and practices. </w:t>
      </w:r>
    </w:p>
    <w:p w14:paraId="4666112C" w14:textId="77777777" w:rsidR="0074112E" w:rsidRPr="0074112E" w:rsidRDefault="0074112E" w:rsidP="0074112E">
      <w:pPr>
        <w:rPr>
          <w:szCs w:val="22"/>
        </w:rPr>
      </w:pPr>
      <w:r w:rsidRPr="0074112E">
        <w:rPr>
          <w:b/>
          <w:szCs w:val="22"/>
          <w:u w:val="single"/>
        </w:rPr>
        <w:t>Indianapolis Power and Light</w:t>
      </w:r>
      <w:r w:rsidRPr="0074112E">
        <w:rPr>
          <w:szCs w:val="22"/>
        </w:rPr>
        <w:t xml:space="preserve"> - Lead consultant on a three-year review of the outage management performance of Indianapolis Power and Light (IP&amp;L).  Audited the Company’s </w:t>
      </w:r>
      <w:r w:rsidRPr="0074112E">
        <w:rPr>
          <w:szCs w:val="22"/>
        </w:rPr>
        <w:lastRenderedPageBreak/>
        <w:t>reliability performance as measured by SAIDI, SAIFI and CAIDI and also the phone center’s performance during outages.</w:t>
      </w:r>
    </w:p>
    <w:p w14:paraId="54ADAD82" w14:textId="77777777" w:rsidR="0074112E" w:rsidRPr="0074112E" w:rsidRDefault="0074112E" w:rsidP="0074112E">
      <w:pPr>
        <w:rPr>
          <w:bCs/>
          <w:iCs/>
          <w:szCs w:val="22"/>
        </w:rPr>
      </w:pPr>
      <w:r w:rsidRPr="0074112E">
        <w:rPr>
          <w:b/>
          <w:bCs/>
          <w:iCs/>
          <w:szCs w:val="22"/>
          <w:u w:val="single"/>
        </w:rPr>
        <w:t>Consolidated Edison Company</w:t>
      </w:r>
      <w:r w:rsidRPr="0074112E">
        <w:rPr>
          <w:b/>
          <w:bCs/>
          <w:i/>
          <w:iCs/>
          <w:szCs w:val="22"/>
        </w:rPr>
        <w:t xml:space="preserve"> – </w:t>
      </w:r>
      <w:r w:rsidRPr="0074112E">
        <w:rPr>
          <w:bCs/>
          <w:iCs/>
          <w:szCs w:val="22"/>
        </w:rPr>
        <w:t>Senior Consultant on an audit of emergency restoration and outage planning capabilities for the New York PSC.  Audit followed a number of large and highly pubic outages.  Major recommendations were made to develop new strategies and programs for addressing reliability and outage response.</w:t>
      </w:r>
    </w:p>
    <w:p w14:paraId="25E63CFA" w14:textId="77777777" w:rsidR="0074112E" w:rsidRPr="0074112E" w:rsidRDefault="0074112E" w:rsidP="0074112E">
      <w:pPr>
        <w:rPr>
          <w:iCs/>
          <w:szCs w:val="22"/>
        </w:rPr>
      </w:pPr>
      <w:r w:rsidRPr="0074112E">
        <w:rPr>
          <w:b/>
          <w:iCs/>
          <w:szCs w:val="22"/>
          <w:u w:val="single"/>
        </w:rPr>
        <w:t>Kentucky Public Service Commission</w:t>
      </w:r>
      <w:r w:rsidRPr="0074112E">
        <w:rPr>
          <w:iCs/>
          <w:szCs w:val="22"/>
        </w:rPr>
        <w:t xml:space="preserve"> – Advisor to KPSC in an extended Staff role to provide additional oversight of the implementation of the approved environmental compliance plans of Louisville Gas and Electric Company and Kentucky Utilities Company.  The oversight of the construction of the environmental facilities of Kentucky Utilities and Louisville Gas and Electric continues with quarterly reports, inspections and meetings with KPSC staff and company personnel.</w:t>
      </w:r>
    </w:p>
    <w:p w14:paraId="0CBE1A1D" w14:textId="77777777" w:rsidR="0074112E" w:rsidRPr="0074112E" w:rsidRDefault="0074112E" w:rsidP="0074112E">
      <w:pPr>
        <w:rPr>
          <w:iCs/>
          <w:szCs w:val="22"/>
        </w:rPr>
      </w:pPr>
      <w:r w:rsidRPr="0074112E">
        <w:rPr>
          <w:b/>
          <w:iCs/>
          <w:szCs w:val="22"/>
          <w:u w:val="single"/>
        </w:rPr>
        <w:t>Kentucky Public Service Commission</w:t>
      </w:r>
      <w:r w:rsidRPr="0074112E">
        <w:rPr>
          <w:iCs/>
          <w:szCs w:val="22"/>
        </w:rPr>
        <w:t xml:space="preserve"> – Advisor to KPSC in an extended Staff role to assist with the evaluation of the environmental compliance plans submitted by the following: Big Rivers Electric Corporation, Kentucky Power Company, Louisville Gas and Electric Company and Kentucky Utilities Company.</w:t>
      </w:r>
    </w:p>
    <w:p w14:paraId="73FC9576" w14:textId="77777777" w:rsidR="0074112E" w:rsidRPr="0074112E" w:rsidRDefault="0074112E" w:rsidP="0074112E">
      <w:pPr>
        <w:rPr>
          <w:szCs w:val="22"/>
        </w:rPr>
      </w:pPr>
      <w:r w:rsidRPr="0074112E">
        <w:rPr>
          <w:b/>
          <w:szCs w:val="22"/>
          <w:u w:val="single"/>
        </w:rPr>
        <w:t>Duke Energy of Ohio, Indiana and Kentucky</w:t>
      </w:r>
      <w:r w:rsidRPr="0074112E">
        <w:rPr>
          <w:b/>
          <w:i/>
          <w:szCs w:val="22"/>
        </w:rPr>
        <w:t xml:space="preserve"> </w:t>
      </w:r>
      <w:r w:rsidRPr="0074112E">
        <w:rPr>
          <w:szCs w:val="22"/>
        </w:rPr>
        <w:t>– Senior consultant for the three affiliate audits of Duke Energy in Ohio, Indiana and Kentucky. The purpose of the audits was to examine Duke Energy’s compliance with the various state compliance requirements as well as any relevant merger commitments made during the regulatory proceedings for the Duke Energy merger with Cinergy.</w:t>
      </w:r>
    </w:p>
    <w:p w14:paraId="3BFEC249" w14:textId="77777777" w:rsidR="0074112E" w:rsidRPr="0074112E" w:rsidRDefault="0074112E" w:rsidP="0074112E">
      <w:pPr>
        <w:rPr>
          <w:szCs w:val="22"/>
        </w:rPr>
      </w:pPr>
      <w:r w:rsidRPr="0074112E">
        <w:rPr>
          <w:b/>
          <w:szCs w:val="22"/>
          <w:u w:val="single"/>
        </w:rPr>
        <w:t>Duke Energy North Carolina Affiliate Audit</w:t>
      </w:r>
      <w:r w:rsidRPr="0074112E">
        <w:rPr>
          <w:szCs w:val="22"/>
        </w:rPr>
        <w:t xml:space="preserve"> – Senior Consultant for an audit of Duke’s compliance with the merger conditions and Code of Conduct requirements as ordered by the North Carolina Utilities Commission.  Responsibilities for the audit included compliance review of affiliate agreements, compliance training and the corporate compliance department’s management of the Duke compliance program for North Carolina.</w:t>
      </w:r>
    </w:p>
    <w:p w14:paraId="37702C15" w14:textId="77777777" w:rsidR="0074112E" w:rsidRPr="0074112E" w:rsidRDefault="0074112E" w:rsidP="0074112E">
      <w:pPr>
        <w:rPr>
          <w:iCs/>
          <w:szCs w:val="22"/>
        </w:rPr>
      </w:pPr>
      <w:r w:rsidRPr="0074112E">
        <w:rPr>
          <w:b/>
          <w:bCs/>
          <w:szCs w:val="22"/>
          <w:u w:val="single"/>
        </w:rPr>
        <w:t>Pacific Gas &amp; Electric Co</w:t>
      </w:r>
      <w:r w:rsidRPr="0074112E">
        <w:rPr>
          <w:b/>
          <w:bCs/>
          <w:i/>
          <w:szCs w:val="22"/>
        </w:rPr>
        <w:t xml:space="preserve">. – </w:t>
      </w:r>
      <w:r w:rsidRPr="0074112E">
        <w:rPr>
          <w:iCs/>
          <w:szCs w:val="22"/>
        </w:rPr>
        <w:t>Senior Consultant for affiliated audit for 2001 and 2002 calendar years to verify compliance with California PUC restructuring requirements.  Assignment included assessment of company plan and audit of affiliate transactions.  Acted as the Lead Consultant on areas that addressed Nondiscrimination Standards, Disclosure and Information Standards, and Competitive Services.  Recommendations from these reports addressed means of improving compliance.</w:t>
      </w:r>
    </w:p>
    <w:p w14:paraId="6557F8FE" w14:textId="77777777" w:rsidR="0074112E" w:rsidRPr="0074112E" w:rsidRDefault="0074112E" w:rsidP="0074112E">
      <w:pPr>
        <w:rPr>
          <w:iCs/>
          <w:szCs w:val="22"/>
        </w:rPr>
      </w:pPr>
      <w:r w:rsidRPr="0074112E">
        <w:rPr>
          <w:b/>
          <w:bCs/>
          <w:szCs w:val="22"/>
          <w:u w:val="single"/>
        </w:rPr>
        <w:t>Public Service Electric &amp; Gas Company</w:t>
      </w:r>
      <w:r w:rsidRPr="0074112E">
        <w:rPr>
          <w:b/>
          <w:bCs/>
          <w:i/>
          <w:szCs w:val="22"/>
        </w:rPr>
        <w:t xml:space="preserve"> – </w:t>
      </w:r>
      <w:r w:rsidRPr="0074112E">
        <w:rPr>
          <w:iCs/>
          <w:szCs w:val="22"/>
        </w:rPr>
        <w:t>Retained by the New Jersey Board of Public Utilities to assess compliance with all Affiliate Compliance and Code of Conduct Rules enacted as a result of restructuring.</w:t>
      </w:r>
    </w:p>
    <w:p w14:paraId="7AF82088" w14:textId="77777777" w:rsidR="0074112E" w:rsidRPr="0074112E" w:rsidRDefault="0074112E" w:rsidP="0074112E">
      <w:pPr>
        <w:rPr>
          <w:b/>
          <w:i/>
          <w:szCs w:val="22"/>
        </w:rPr>
      </w:pPr>
      <w:r w:rsidRPr="0074112E">
        <w:rPr>
          <w:b/>
          <w:szCs w:val="22"/>
          <w:u w:val="single"/>
        </w:rPr>
        <w:t>Entergy</w:t>
      </w:r>
      <w:r w:rsidRPr="0074112E">
        <w:rPr>
          <w:b/>
          <w:i/>
          <w:szCs w:val="22"/>
        </w:rPr>
        <w:t xml:space="preserve"> - </w:t>
      </w:r>
      <w:r w:rsidRPr="0074112E">
        <w:rPr>
          <w:szCs w:val="22"/>
        </w:rPr>
        <w:t xml:space="preserve">Consultant for financial audit of affiliated transactions between Entergy Corporation, Entergy Services, Inc., and subsidiaries.  Responsibilities included the review of affiliated </w:t>
      </w:r>
      <w:r w:rsidRPr="0074112E">
        <w:rPr>
          <w:szCs w:val="22"/>
        </w:rPr>
        <w:lastRenderedPageBreak/>
        <w:t>transactions, allocation, accounting procedures and control, disclosure reporting, and insulation and segregation of regulated and non-regulated affiliates.</w:t>
      </w:r>
    </w:p>
    <w:p w14:paraId="1C04EFB4" w14:textId="77777777" w:rsidR="0074112E" w:rsidRPr="0074112E" w:rsidRDefault="0074112E" w:rsidP="0074112E">
      <w:pPr>
        <w:rPr>
          <w:szCs w:val="22"/>
        </w:rPr>
      </w:pPr>
      <w:r w:rsidRPr="0074112E">
        <w:rPr>
          <w:b/>
          <w:szCs w:val="22"/>
          <w:u w:val="single"/>
        </w:rPr>
        <w:t>Connecticut Department of Public Utility Control</w:t>
      </w:r>
      <w:r w:rsidRPr="0074112E">
        <w:rPr>
          <w:szCs w:val="22"/>
        </w:rPr>
        <w:t xml:space="preserve"> – Senior Consultant for a management audit of United Illuminating Company. Reviewed primary planning documents and processes used in the development of the documents.</w:t>
      </w:r>
    </w:p>
    <w:p w14:paraId="046C8E42" w14:textId="77777777" w:rsidR="0074112E" w:rsidRPr="0074112E" w:rsidRDefault="0074112E" w:rsidP="0074112E">
      <w:pPr>
        <w:rPr>
          <w:szCs w:val="22"/>
        </w:rPr>
      </w:pPr>
      <w:r w:rsidRPr="0074112E">
        <w:rPr>
          <w:b/>
          <w:szCs w:val="22"/>
          <w:u w:val="single"/>
        </w:rPr>
        <w:t>Big Rivers Electric Corporation</w:t>
      </w:r>
      <w:r w:rsidRPr="0074112E">
        <w:rPr>
          <w:b/>
          <w:i/>
          <w:szCs w:val="22"/>
        </w:rPr>
        <w:t xml:space="preserve"> - </w:t>
      </w:r>
      <w:r w:rsidRPr="0074112E">
        <w:rPr>
          <w:szCs w:val="22"/>
        </w:rPr>
        <w:t>Engagement Director for an assignment to implement a comprehensive planning process.  The process is centered on an annual planning cycle, which incorporates the corporate and strategic plans with the divisional plans and budgets.</w:t>
      </w:r>
    </w:p>
    <w:p w14:paraId="539A207D" w14:textId="77777777" w:rsidR="0074112E" w:rsidRPr="0074112E" w:rsidRDefault="0074112E" w:rsidP="0074112E">
      <w:pPr>
        <w:rPr>
          <w:szCs w:val="22"/>
        </w:rPr>
      </w:pPr>
      <w:r w:rsidRPr="0074112E">
        <w:rPr>
          <w:b/>
          <w:szCs w:val="22"/>
          <w:u w:val="single"/>
        </w:rPr>
        <w:t>Kentucky Utilities Company</w:t>
      </w:r>
      <w:r w:rsidRPr="0074112E">
        <w:rPr>
          <w:szCs w:val="22"/>
        </w:rPr>
        <w:t xml:space="preserve"> - Engagement Director for a project to provide advice and consultation with regard to the preparation of an application for a certificate of convenience and necessity to construct additional peaking capacity.  The filing was prepared to comply with a comprehensive regulation on integrated resource planning adopted by the Kentucky Public Service Commission.  Areas of responsibility included preparing the responses for the sections of the IRP regulation, which were concerned with demand-side management.</w:t>
      </w:r>
    </w:p>
    <w:p w14:paraId="5ADD432F" w14:textId="77777777" w:rsidR="0074112E" w:rsidRPr="0074112E" w:rsidRDefault="0074112E" w:rsidP="0074112E">
      <w:pPr>
        <w:rPr>
          <w:szCs w:val="22"/>
        </w:rPr>
      </w:pPr>
      <w:r w:rsidRPr="0074112E">
        <w:rPr>
          <w:b/>
          <w:szCs w:val="22"/>
          <w:u w:val="single"/>
        </w:rPr>
        <w:t>Kentucky-American Water Company</w:t>
      </w:r>
      <w:r w:rsidRPr="0074112E">
        <w:rPr>
          <w:szCs w:val="22"/>
        </w:rPr>
        <w:t xml:space="preserve"> - Lead Consultant for a project to review and comment on drafts of testimony and a consultant's report on the need to expand its water treatment capacity.  The testimony and report were the subject of a mock hearing.</w:t>
      </w:r>
    </w:p>
    <w:p w14:paraId="756751DD" w14:textId="77777777" w:rsidR="0074112E" w:rsidRPr="0074112E" w:rsidRDefault="0074112E" w:rsidP="0074112E">
      <w:pPr>
        <w:rPr>
          <w:szCs w:val="22"/>
        </w:rPr>
      </w:pPr>
      <w:r w:rsidRPr="0074112E">
        <w:rPr>
          <w:b/>
          <w:szCs w:val="22"/>
          <w:u w:val="single"/>
        </w:rPr>
        <w:t>East Kentucky Power Cooperative, Inc</w:t>
      </w:r>
      <w:r w:rsidRPr="0074112E">
        <w:rPr>
          <w:b/>
          <w:i/>
          <w:szCs w:val="22"/>
        </w:rPr>
        <w:t xml:space="preserve">. - </w:t>
      </w:r>
      <w:r w:rsidRPr="0074112E">
        <w:rPr>
          <w:szCs w:val="22"/>
        </w:rPr>
        <w:t>Engagement Director for the performance of an audit of evaluation of competitive bids it received for providing generating capacity to meet its needs.  The purpose of the audit was to provide assurance to EKPC's management that each of the proposals is provided fair and consistent treatment.  The audit was needed because the company had also provided a bid.</w:t>
      </w:r>
    </w:p>
    <w:p w14:paraId="17BC8BCA" w14:textId="77777777" w:rsidR="0074112E" w:rsidRDefault="0074112E" w:rsidP="0074112E">
      <w:pPr>
        <w:pStyle w:val="Heading4"/>
      </w:pPr>
      <w:bookmarkStart w:id="29" w:name="_Toc12035478"/>
      <w:bookmarkStart w:id="30" w:name="_Toc12036020"/>
      <w:bookmarkStart w:id="31" w:name="_Toc12038416"/>
      <w:bookmarkStart w:id="32" w:name="_Toc12039108"/>
      <w:bookmarkStart w:id="33" w:name="_Toc24483365"/>
      <w:bookmarkStart w:id="34" w:name="_Toc24548376"/>
      <w:bookmarkStart w:id="35" w:name="_Toc24550422"/>
      <w:bookmarkStart w:id="36" w:name="_Toc24625462"/>
      <w:bookmarkStart w:id="37" w:name="_Toc24626849"/>
      <w:bookmarkStart w:id="38" w:name="_Toc24627339"/>
      <w:bookmarkStart w:id="39" w:name="_Toc24627550"/>
      <w:bookmarkStart w:id="40" w:name="_Toc24627944"/>
      <w:bookmarkStart w:id="41" w:name="_Toc24640586"/>
      <w:r>
        <w:t>Other Business Activity</w:t>
      </w:r>
      <w:bookmarkEnd w:id="29"/>
      <w:bookmarkEnd w:id="30"/>
      <w:bookmarkEnd w:id="31"/>
      <w:bookmarkEnd w:id="32"/>
      <w:bookmarkEnd w:id="33"/>
      <w:bookmarkEnd w:id="34"/>
      <w:bookmarkEnd w:id="35"/>
      <w:bookmarkEnd w:id="36"/>
      <w:bookmarkEnd w:id="37"/>
      <w:bookmarkEnd w:id="38"/>
      <w:bookmarkEnd w:id="39"/>
      <w:bookmarkEnd w:id="40"/>
      <w:bookmarkEnd w:id="41"/>
    </w:p>
    <w:p w14:paraId="374B8BA4" w14:textId="77777777" w:rsidR="0074112E" w:rsidRPr="0074112E" w:rsidRDefault="0074112E" w:rsidP="0074112E">
      <w:pPr>
        <w:rPr>
          <w:szCs w:val="22"/>
        </w:rPr>
      </w:pPr>
      <w:r w:rsidRPr="0074112E">
        <w:rPr>
          <w:i/>
          <w:szCs w:val="22"/>
        </w:rPr>
        <w:t>President, Utility and Economic Consulting, Inc.</w:t>
      </w:r>
      <w:r w:rsidRPr="0074112E">
        <w:rPr>
          <w:szCs w:val="22"/>
        </w:rPr>
        <w:t>, February 1989-2014.  The company provided utility, regulatory, management, and economic consulting services.  The consulting engagements described above were performed since the formation of UEC.</w:t>
      </w:r>
    </w:p>
    <w:p w14:paraId="6838E273" w14:textId="77777777" w:rsidR="0074112E" w:rsidRPr="0074112E" w:rsidRDefault="0074112E" w:rsidP="0074112E">
      <w:pPr>
        <w:rPr>
          <w:szCs w:val="22"/>
        </w:rPr>
      </w:pPr>
      <w:r w:rsidRPr="0074112E">
        <w:rPr>
          <w:i/>
          <w:szCs w:val="22"/>
        </w:rPr>
        <w:t>Deputy Executive Director</w:t>
      </w:r>
      <w:r w:rsidRPr="0074112E">
        <w:rPr>
          <w:szCs w:val="22"/>
        </w:rPr>
        <w:t xml:space="preserve"> for the Public Service Commission of Kentucky, 1986-January 1989.  Primary responsibilities include the following.</w:t>
      </w:r>
    </w:p>
    <w:p w14:paraId="695447BE"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szCs w:val="22"/>
        </w:rPr>
        <w:t>Managing staff, through their directors, to ensure that cases were processed according to operating procedures and in a timely fashion.</w:t>
      </w:r>
    </w:p>
    <w:p w14:paraId="6151286D"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szCs w:val="22"/>
        </w:rPr>
        <w:t>Working directly with the staff to develop regulatory policy positions for presentation to the Commissioners.  One of the key policies developed involved a revised regulatory scheme to promote a more competitive environment for the delivery of natural gas.</w:t>
      </w:r>
    </w:p>
    <w:p w14:paraId="0188C6BA"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szCs w:val="22"/>
        </w:rPr>
        <w:t xml:space="preserve">Preparation of a proposed comprehensive planning regulation for the Commission.  The regulation, which is applicable to the state's electric utilities, specified filing </w:t>
      </w:r>
      <w:r w:rsidRPr="0074112E">
        <w:rPr>
          <w:szCs w:val="22"/>
        </w:rPr>
        <w:lastRenderedPageBreak/>
        <w:t>requirements for the reporting of load forecasts and resource information including demand-side management and supply-side options.</w:t>
      </w:r>
    </w:p>
    <w:p w14:paraId="773C7AF9"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i/>
          <w:szCs w:val="22"/>
        </w:rPr>
        <w:t>Director</w:t>
      </w:r>
      <w:r w:rsidRPr="0074112E">
        <w:rPr>
          <w:szCs w:val="22"/>
        </w:rPr>
        <w:t>, Division of Research, for the Public Service Commission of Kentucky, 1983-1986. Primary responsibilities include the following.</w:t>
      </w:r>
    </w:p>
    <w:p w14:paraId="6646A581"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szCs w:val="22"/>
        </w:rPr>
        <w:t xml:space="preserve">Managing and providing direction for the economic research staff.  </w:t>
      </w:r>
    </w:p>
    <w:p w14:paraId="3F4845C4"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szCs w:val="22"/>
        </w:rPr>
        <w:t>Actively participating in cases before the Commission.</w:t>
      </w:r>
    </w:p>
    <w:p w14:paraId="52A94C5D"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i/>
          <w:szCs w:val="22"/>
        </w:rPr>
        <w:t>Load Management Coordinator</w:t>
      </w:r>
      <w:r w:rsidRPr="0074112E">
        <w:rPr>
          <w:szCs w:val="22"/>
        </w:rPr>
        <w:t>.  This position required coordinating, leading discussions, and making presentations to two statewide load management committees - a steering and a technical committee.  The committees were composed of Commission staff, utility executives, and consumer representatives.  The committees met quarterly to discuss and review the implementation of time-of-day rates for large commercial and industrial customers.  Various other load management techniques were also reviewed and considered.</w:t>
      </w:r>
    </w:p>
    <w:p w14:paraId="43E375A9"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i/>
          <w:szCs w:val="22"/>
        </w:rPr>
        <w:t>Project Coordinator, Case No. 8666</w:t>
      </w:r>
      <w:r w:rsidRPr="0074112E">
        <w:rPr>
          <w:szCs w:val="22"/>
        </w:rPr>
        <w:t xml:space="preserve"> - An Investigation </w:t>
      </w:r>
      <w:proofErr w:type="gramStart"/>
      <w:r w:rsidRPr="0074112E">
        <w:rPr>
          <w:szCs w:val="22"/>
        </w:rPr>
        <w:t>Into</w:t>
      </w:r>
      <w:proofErr w:type="gramEnd"/>
      <w:r w:rsidRPr="0074112E">
        <w:rPr>
          <w:szCs w:val="22"/>
        </w:rPr>
        <w:t xml:space="preserve"> Alternative Load Forecasting Methods and Planning Considerations for the Efficient Provision of Electric Generation and Transmission Facilities.  In this docket, the Commission hired the services of a consultant to perform the following tasks:  review the forecasting methods of the state's electric utilities; provide alternative forecasts; examine the potential benefits of conservation; evaluate alternative construction scenarios assuming the formation of a statewide power pool; and estimate the financial impact of the alternative scenarios.  Primary duties were to be the intermediary between the consultants, Commission, the utilities, and other parties; to conduct review sessions on the consultant's work; and to evaluate the draft and final reports produced by the consultant.</w:t>
      </w:r>
    </w:p>
    <w:p w14:paraId="0825A120"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i/>
          <w:szCs w:val="22"/>
        </w:rPr>
        <w:t>Project Officer</w:t>
      </w:r>
      <w:r w:rsidRPr="0074112E">
        <w:rPr>
          <w:szCs w:val="22"/>
        </w:rPr>
        <w:t xml:space="preserve"> for comprehensive management audits of Kentucky Utilities Company and South Central Bell Telephone Company.  The Commission instituted a management audit program, which involved hiring consultants to review the management practices of all the State's major utility companies.  The role of the project officer was to ensure satisfactory and timely performance of the proposed work; to attend selected interviews; and to critically review and evaluate analytical results.</w:t>
      </w:r>
    </w:p>
    <w:p w14:paraId="26A2FC1A" w14:textId="77777777" w:rsidR="0074112E" w:rsidRPr="0074112E" w:rsidRDefault="0074112E" w:rsidP="0074112E">
      <w:pPr>
        <w:pStyle w:val="ListParagraph"/>
        <w:numPr>
          <w:ilvl w:val="0"/>
          <w:numId w:val="2"/>
        </w:numPr>
        <w:tabs>
          <w:tab w:val="clear" w:pos="720"/>
          <w:tab w:val="clear" w:pos="1080"/>
          <w:tab w:val="clear" w:pos="1440"/>
          <w:tab w:val="clear" w:pos="1800"/>
        </w:tabs>
        <w:ind w:left="1080"/>
        <w:rPr>
          <w:szCs w:val="22"/>
        </w:rPr>
      </w:pPr>
      <w:r w:rsidRPr="0074112E">
        <w:rPr>
          <w:i/>
          <w:szCs w:val="22"/>
        </w:rPr>
        <w:t>Public Utility Economist</w:t>
      </w:r>
      <w:r w:rsidRPr="0074112E">
        <w:rPr>
          <w:szCs w:val="22"/>
        </w:rPr>
        <w:t xml:space="preserve"> for the Public Service Commission of Kentucky, 1979-1983.  Primary responsibilities included:</w:t>
      </w:r>
    </w:p>
    <w:p w14:paraId="55AE431E" w14:textId="77777777" w:rsidR="0074112E" w:rsidRPr="0074112E" w:rsidRDefault="0074112E" w:rsidP="0074112E">
      <w:pPr>
        <w:pStyle w:val="ListParagraph"/>
        <w:numPr>
          <w:ilvl w:val="0"/>
          <w:numId w:val="3"/>
        </w:numPr>
        <w:tabs>
          <w:tab w:val="clear" w:pos="720"/>
          <w:tab w:val="clear" w:pos="1080"/>
          <w:tab w:val="clear" w:pos="1440"/>
          <w:tab w:val="clear" w:pos="1800"/>
        </w:tabs>
        <w:spacing w:after="120"/>
        <w:rPr>
          <w:szCs w:val="22"/>
        </w:rPr>
      </w:pPr>
      <w:r w:rsidRPr="0074112E">
        <w:rPr>
          <w:szCs w:val="22"/>
        </w:rPr>
        <w:t>assisting the Commission in implementing procedures and policies to meet the federal mandates of the Public Utility Regulatory Policies Act (PURPA).  This involved performing cost-of-service studies, developing alternative rate design proposals, and testifying on the ratemaking standards in Section 111 of PURPA;</w:t>
      </w:r>
    </w:p>
    <w:p w14:paraId="1951AF4A" w14:textId="77777777" w:rsidR="0074112E" w:rsidRPr="0074112E" w:rsidRDefault="0074112E" w:rsidP="0074112E">
      <w:pPr>
        <w:pStyle w:val="ListParagraph"/>
        <w:numPr>
          <w:ilvl w:val="0"/>
          <w:numId w:val="3"/>
        </w:numPr>
        <w:tabs>
          <w:tab w:val="clear" w:pos="720"/>
          <w:tab w:val="clear" w:pos="1080"/>
          <w:tab w:val="clear" w:pos="1440"/>
          <w:tab w:val="clear" w:pos="1800"/>
        </w:tabs>
        <w:spacing w:after="120"/>
        <w:rPr>
          <w:szCs w:val="22"/>
        </w:rPr>
      </w:pPr>
      <w:r w:rsidRPr="0074112E">
        <w:rPr>
          <w:szCs w:val="22"/>
        </w:rPr>
        <w:t>developing the Commission's initial regulations pertaining to cogeneration.</w:t>
      </w:r>
    </w:p>
    <w:p w14:paraId="6DBE781B" w14:textId="77777777" w:rsidR="0074112E" w:rsidRPr="0074112E" w:rsidRDefault="0074112E" w:rsidP="0074112E">
      <w:pPr>
        <w:pStyle w:val="BulletVEC"/>
        <w:spacing w:after="240"/>
        <w:ind w:left="1080" w:right="0"/>
      </w:pPr>
      <w:r w:rsidRPr="0074112E">
        <w:rPr>
          <w:i/>
        </w:rPr>
        <w:t>Assistant Professor</w:t>
      </w:r>
      <w:r w:rsidRPr="0074112E">
        <w:t>, Department of Economics, for Morehead State University, 1976-1979.  Primary teaching responsibilities were investments, introduction to economics, and intermediate macroeconomics.  Other teaching responsibilities included managerial economics and computer programming in BASIC.  Committee work included membership on the Southern Association Self-Study and the Committee on Student Life.</w:t>
      </w:r>
    </w:p>
    <w:p w14:paraId="3F1295ED" w14:textId="77777777" w:rsidR="0074112E" w:rsidRDefault="0074112E" w:rsidP="0074112E">
      <w:pPr>
        <w:keepNext/>
        <w:rPr>
          <w:rFonts w:ascii="Arial" w:hAnsi="Arial"/>
          <w:b/>
          <w:sz w:val="24"/>
        </w:rPr>
      </w:pPr>
      <w:r>
        <w:rPr>
          <w:rFonts w:ascii="Arial" w:hAnsi="Arial"/>
          <w:b/>
          <w:sz w:val="24"/>
        </w:rPr>
        <w:lastRenderedPageBreak/>
        <w:t>TESTIMONY</w:t>
      </w:r>
    </w:p>
    <w:p w14:paraId="470E7126" w14:textId="77777777" w:rsidR="0074112E" w:rsidRPr="0074112E" w:rsidRDefault="0074112E" w:rsidP="0074112E">
      <w:pPr>
        <w:rPr>
          <w:szCs w:val="22"/>
        </w:rPr>
      </w:pPr>
      <w:r w:rsidRPr="0074112E">
        <w:rPr>
          <w:szCs w:val="22"/>
        </w:rPr>
        <w:t>Testimony was provided in the following:</w:t>
      </w:r>
    </w:p>
    <w:p w14:paraId="1017A6A9" w14:textId="77777777" w:rsidR="0074112E" w:rsidRPr="0074112E" w:rsidRDefault="0074112E" w:rsidP="0074112E">
      <w:pPr>
        <w:pStyle w:val="ListParagraph"/>
        <w:numPr>
          <w:ilvl w:val="0"/>
          <w:numId w:val="4"/>
        </w:numPr>
        <w:tabs>
          <w:tab w:val="clear" w:pos="720"/>
          <w:tab w:val="clear" w:pos="1080"/>
          <w:tab w:val="clear" w:pos="1440"/>
          <w:tab w:val="clear" w:pos="1800"/>
        </w:tabs>
        <w:spacing w:after="120"/>
        <w:rPr>
          <w:szCs w:val="22"/>
        </w:rPr>
      </w:pPr>
      <w:r w:rsidRPr="0074112E">
        <w:rPr>
          <w:szCs w:val="22"/>
        </w:rPr>
        <w:t>Federal Energy Regulatory Commission on behalf of the Kentucky Public Service Commission regarding AEP’s membership in PJM and the KPSC’s role in approving the membership.</w:t>
      </w:r>
    </w:p>
    <w:p w14:paraId="76614B6D" w14:textId="77777777" w:rsidR="0074112E" w:rsidRPr="0074112E" w:rsidRDefault="0074112E" w:rsidP="0074112E">
      <w:pPr>
        <w:pStyle w:val="ListParagraph"/>
        <w:numPr>
          <w:ilvl w:val="0"/>
          <w:numId w:val="4"/>
        </w:numPr>
        <w:tabs>
          <w:tab w:val="clear" w:pos="720"/>
          <w:tab w:val="clear" w:pos="1080"/>
          <w:tab w:val="clear" w:pos="1440"/>
          <w:tab w:val="clear" w:pos="1800"/>
        </w:tabs>
        <w:spacing w:after="120"/>
        <w:rPr>
          <w:szCs w:val="22"/>
        </w:rPr>
      </w:pPr>
      <w:r w:rsidRPr="0074112E">
        <w:rPr>
          <w:szCs w:val="22"/>
        </w:rPr>
        <w:t>Case No. 2003-00434, Kentucky Utilities’ rate case, before the Kentucky Public Service Commission on behalf of North American Stainless regarding a proposed non-conforming load tariff.</w:t>
      </w:r>
    </w:p>
    <w:p w14:paraId="0D9790FB" w14:textId="77777777" w:rsidR="0074112E" w:rsidRPr="0074112E" w:rsidRDefault="0074112E" w:rsidP="0074112E">
      <w:pPr>
        <w:pStyle w:val="ListParagraph"/>
        <w:numPr>
          <w:ilvl w:val="0"/>
          <w:numId w:val="4"/>
        </w:numPr>
        <w:tabs>
          <w:tab w:val="clear" w:pos="720"/>
          <w:tab w:val="clear" w:pos="1080"/>
          <w:tab w:val="clear" w:pos="1440"/>
          <w:tab w:val="clear" w:pos="1800"/>
        </w:tabs>
        <w:spacing w:after="120"/>
        <w:rPr>
          <w:szCs w:val="22"/>
        </w:rPr>
      </w:pPr>
      <w:r w:rsidRPr="0074112E">
        <w:rPr>
          <w:szCs w:val="22"/>
        </w:rPr>
        <w:t>New Jersey Board of Public Utilities on behalf of the Staff of the NJBPU regarding Public Service Electric &amp; Gas’ cost of service studies and unbundling proposals in support of its Restructuring Plan.</w:t>
      </w:r>
    </w:p>
    <w:p w14:paraId="0AA1B4BE" w14:textId="77777777" w:rsidR="0074112E" w:rsidRPr="0074112E" w:rsidRDefault="0074112E" w:rsidP="0074112E">
      <w:pPr>
        <w:pStyle w:val="ListParagraph"/>
        <w:numPr>
          <w:ilvl w:val="0"/>
          <w:numId w:val="4"/>
        </w:numPr>
        <w:tabs>
          <w:tab w:val="clear" w:pos="720"/>
          <w:tab w:val="clear" w:pos="1080"/>
          <w:tab w:val="clear" w:pos="1440"/>
          <w:tab w:val="clear" w:pos="1800"/>
        </w:tabs>
        <w:spacing w:after="120"/>
        <w:rPr>
          <w:szCs w:val="22"/>
        </w:rPr>
      </w:pPr>
      <w:r w:rsidRPr="0074112E">
        <w:rPr>
          <w:szCs w:val="22"/>
        </w:rPr>
        <w:t>Case Nos. 2009-00548 and 00549, Kentucky Utilities and Louisville Gas &amp; Electric rate cases, before the Kentucky Public Service Commission on behalf of the Kentucky School Board Association.</w:t>
      </w:r>
    </w:p>
    <w:p w14:paraId="789FA267" w14:textId="77777777" w:rsidR="0074112E" w:rsidRDefault="0074112E" w:rsidP="0074112E">
      <w:pPr>
        <w:pStyle w:val="BulletVEC"/>
        <w:numPr>
          <w:ilvl w:val="0"/>
          <w:numId w:val="0"/>
        </w:numPr>
        <w:spacing w:after="120"/>
        <w:ind w:right="0"/>
        <w:rPr>
          <w:b/>
        </w:rPr>
      </w:pPr>
    </w:p>
    <w:p w14:paraId="1F265144" w14:textId="77777777" w:rsidR="0074112E" w:rsidRDefault="0074112E" w:rsidP="0074112E">
      <w:pPr>
        <w:pStyle w:val="Heading3notc"/>
        <w:tabs>
          <w:tab w:val="num" w:pos="720"/>
        </w:tabs>
      </w:pPr>
      <w:r>
        <w:t>EDUCATION</w:t>
      </w:r>
    </w:p>
    <w:p w14:paraId="1C085D52" w14:textId="77777777" w:rsidR="0074112E" w:rsidRPr="0074112E" w:rsidRDefault="0074112E" w:rsidP="0074112E">
      <w:pPr>
        <w:spacing w:after="120"/>
        <w:rPr>
          <w:szCs w:val="22"/>
        </w:rPr>
      </w:pPr>
      <w:r w:rsidRPr="0074112E">
        <w:rPr>
          <w:szCs w:val="22"/>
        </w:rPr>
        <w:t>B.S. in Economics with Honors, University of Kentucky</w:t>
      </w:r>
      <w:r w:rsidRPr="0074112E">
        <w:rPr>
          <w:szCs w:val="22"/>
        </w:rPr>
        <w:br/>
        <w:t>M.A. in Economics, University of Kentucky</w:t>
      </w:r>
      <w:r w:rsidRPr="0074112E">
        <w:rPr>
          <w:szCs w:val="22"/>
        </w:rPr>
        <w:br/>
        <w:t>Ph.D. Candidate, University of Kentucky</w:t>
      </w:r>
    </w:p>
    <w:p w14:paraId="07F0CE70" w14:textId="77777777" w:rsidR="0074112E" w:rsidRPr="006D076E" w:rsidRDefault="0074112E" w:rsidP="0074112E">
      <w:pPr>
        <w:pStyle w:val="BulletVEC"/>
        <w:numPr>
          <w:ilvl w:val="0"/>
          <w:numId w:val="0"/>
        </w:numPr>
        <w:spacing w:after="120"/>
        <w:ind w:right="0"/>
        <w:rPr>
          <w:b/>
        </w:rPr>
      </w:pPr>
    </w:p>
    <w:p w14:paraId="3C2C4247" w14:textId="77777777" w:rsidR="0074112E" w:rsidRPr="006D076E" w:rsidRDefault="0074112E" w:rsidP="0074112E">
      <w:pPr>
        <w:pStyle w:val="BulletVEC"/>
        <w:numPr>
          <w:ilvl w:val="0"/>
          <w:numId w:val="0"/>
        </w:numPr>
        <w:spacing w:after="120"/>
        <w:ind w:right="0"/>
        <w:sectPr w:rsidR="0074112E" w:rsidRPr="006D076E" w:rsidSect="00E670E1">
          <w:headerReference w:type="even" r:id="rId5"/>
          <w:headerReference w:type="default" r:id="rId6"/>
          <w:endnotePr>
            <w:numFmt w:val="decimal"/>
            <w:numRestart w:val="eachSect"/>
          </w:endnotePr>
          <w:pgSz w:w="12240" w:h="15840"/>
          <w:pgMar w:top="1440" w:right="1440" w:bottom="1440" w:left="1440" w:header="720" w:footer="720" w:gutter="0"/>
          <w:cols w:space="720"/>
          <w:titlePg/>
          <w:docGrid w:linePitch="360"/>
        </w:sectPr>
      </w:pPr>
    </w:p>
    <w:p w14:paraId="2A1BD858" w14:textId="77777777" w:rsidR="0074112E" w:rsidRDefault="0074112E"/>
    <w:sectPr w:rsidR="0074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825A" w14:textId="77777777" w:rsidR="00E75D4F" w:rsidRDefault="0074112E">
    <w:pP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sdt>
    <w:sdtPr>
      <w:rPr>
        <w:rFonts w:asciiTheme="majorHAnsi" w:eastAsiaTheme="majorEastAsia" w:hAnsiTheme="majorHAnsi" w:cstheme="majorBidi"/>
        <w:szCs w:val="22"/>
      </w:rPr>
      <w:alias w:val="Title"/>
      <w:id w:val="327493156"/>
      <w:placeholder/>
      <w:dataBinding w:prefixMappings="xmlns:ns0='http://schemas.openxmlformats.org/package/2006/metadata/core-properties' xmlns:ns1='http://purl.org/dc/elements/1.1/'" w:xpath="/ns0:coreProperties[1]/ns1:title[1]" w:storeItemID="{6C3C8BC8-F283-45AE-878A-BAB7291924A1}"/>
      <w:text/>
    </w:sdtPr>
    <w:sdtEndPr/>
    <w:sdtContent>
      <w:p w14:paraId="1A506108" w14:textId="77777777" w:rsidR="00E75D4F" w:rsidRDefault="0074112E" w:rsidP="0049075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
    </w:sdtContent>
  </w:sdt>
  <w:p w14:paraId="18A73B70" w14:textId="77777777" w:rsidR="00E75D4F" w:rsidRDefault="0074112E" w:rsidP="00CD5C9D">
    <w:pPr>
      <w:pStyle w:val="Header"/>
      <w:tabs>
        <w:tab w:val="clear" w:pos="8640"/>
        <w:tab w:val="right" w:pos="9000"/>
      </w:tabs>
      <w:rPr>
        <w:b/>
        <w:u w:val="single"/>
      </w:rPr>
    </w:pPr>
    <w:r w:rsidRPr="000037BF">
      <w:rPr>
        <w:b/>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Cs w:val="22"/>
      </w:rPr>
      <w:alias w:val="Title"/>
      <w:id w:val="2013716224"/>
      <w:showingPlcHdr/>
      <w:dataBinding w:prefixMappings="xmlns:ns0='http://schemas.openxmlformats.org/package/2006/metadata/core-properties' xmlns:ns1='http://purl.org/dc/elements/1.1/'" w:xpath="/ns0:coreProperties[1]/ns1:title[1]" w:storeItemID="{6C3C8BC8-F283-45AE-878A-BAB7291924A1}"/>
      <w:text/>
    </w:sdtPr>
    <w:sdtEndPr/>
    <w:sdtContent>
      <w:p w14:paraId="2C9775B9" w14:textId="77777777" w:rsidR="00E75D4F" w:rsidRDefault="0074112E" w:rsidP="00774DD4">
        <w:pPr>
          <w:pStyle w:val="Header"/>
          <w:pBdr>
            <w:bottom w:val="thickThinSmallGap" w:sz="24" w:space="1" w:color="622423"/>
          </w:pBdr>
          <w:jc w:val="center"/>
          <w:rPr>
            <w:rFonts w:ascii="Arial" w:eastAsia="Calibri" w:hAnsi="Arial" w:cs="Arial"/>
            <w:bCs/>
            <w:sz w:val="24"/>
          </w:rPr>
        </w:pPr>
        <w:r>
          <w:rPr>
            <w:rFonts w:eastAsiaTheme="majorEastAsia" w:cstheme="majorBidi"/>
            <w:szCs w:val="22"/>
          </w:rPr>
          <w:t xml:space="preserve">     </w:t>
        </w:r>
      </w:p>
    </w:sdtContent>
  </w:sdt>
  <w:p w14:paraId="498C0D9A" w14:textId="77777777" w:rsidR="00E75D4F" w:rsidRDefault="0074112E" w:rsidP="00774DD4">
    <w:pPr>
      <w:pStyle w:val="Header"/>
      <w:tabs>
        <w:tab w:val="clear" w:pos="8640"/>
        <w:tab w:val="right" w:pos="9000"/>
      </w:tabs>
      <w:rPr>
        <w:b/>
        <w:u w:val="single"/>
      </w:rPr>
    </w:pPr>
    <w:r>
      <w:rPr>
        <w:b/>
        <w:u w:val="single"/>
      </w:rPr>
      <w:t xml:space="preserve"> </w:t>
    </w:r>
    <w:r w:rsidRPr="000037BF">
      <w:rPr>
        <w:b/>
        <w:u w:val="single"/>
      </w:rPr>
      <w:t>Resume of Mr</w:t>
    </w:r>
    <w:r>
      <w:rPr>
        <w:b/>
        <w:u w:val="single"/>
      </w:rPr>
      <w:t>. Chuck Buechel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BF1"/>
    <w:multiLevelType w:val="hybridMultilevel"/>
    <w:tmpl w:val="9ED49F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E3C53EA"/>
    <w:multiLevelType w:val="hybridMultilevel"/>
    <w:tmpl w:val="AFFA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F751A8"/>
    <w:multiLevelType w:val="hybridMultilevel"/>
    <w:tmpl w:val="8BCEF756"/>
    <w:lvl w:ilvl="0" w:tplc="B03EBFD6">
      <w:start w:val="1"/>
      <w:numFmt w:val="bullet"/>
      <w:pStyle w:val="BulletVEC"/>
      <w:lvlText w:val=""/>
      <w:lvlJc w:val="left"/>
      <w:pPr>
        <w:ind w:left="1267" w:hanging="360"/>
      </w:pPr>
      <w:rPr>
        <w:rFonts w:ascii="Symbol" w:hAnsi="Symbol" w:hint="default"/>
      </w:rPr>
    </w:lvl>
    <w:lvl w:ilvl="1" w:tplc="11F43AD8">
      <w:start w:val="1"/>
      <w:numFmt w:val="bullet"/>
      <w:lvlText w:val="o"/>
      <w:lvlJc w:val="left"/>
      <w:pPr>
        <w:ind w:left="1987" w:hanging="360"/>
      </w:pPr>
      <w:rPr>
        <w:rFonts w:ascii="Courier New" w:hAnsi="Courier New" w:cs="Courier New" w:hint="default"/>
      </w:rPr>
    </w:lvl>
    <w:lvl w:ilvl="2" w:tplc="C9425C62">
      <w:start w:val="1"/>
      <w:numFmt w:val="bullet"/>
      <w:lvlText w:val=""/>
      <w:lvlJc w:val="left"/>
      <w:pPr>
        <w:ind w:left="2707" w:hanging="360"/>
      </w:pPr>
      <w:rPr>
        <w:rFonts w:ascii="Wingdings" w:hAnsi="Wingdings" w:hint="default"/>
      </w:rPr>
    </w:lvl>
    <w:lvl w:ilvl="3" w:tplc="869A214A" w:tentative="1">
      <w:start w:val="1"/>
      <w:numFmt w:val="bullet"/>
      <w:lvlText w:val=""/>
      <w:lvlJc w:val="left"/>
      <w:pPr>
        <w:ind w:left="3427" w:hanging="360"/>
      </w:pPr>
      <w:rPr>
        <w:rFonts w:ascii="Symbol" w:hAnsi="Symbol" w:hint="default"/>
      </w:rPr>
    </w:lvl>
    <w:lvl w:ilvl="4" w:tplc="77B00ED4" w:tentative="1">
      <w:start w:val="1"/>
      <w:numFmt w:val="bullet"/>
      <w:lvlText w:val="o"/>
      <w:lvlJc w:val="left"/>
      <w:pPr>
        <w:ind w:left="4147" w:hanging="360"/>
      </w:pPr>
      <w:rPr>
        <w:rFonts w:ascii="Courier New" w:hAnsi="Courier New" w:cs="Courier New" w:hint="default"/>
      </w:rPr>
    </w:lvl>
    <w:lvl w:ilvl="5" w:tplc="396AE556" w:tentative="1">
      <w:start w:val="1"/>
      <w:numFmt w:val="bullet"/>
      <w:lvlText w:val=""/>
      <w:lvlJc w:val="left"/>
      <w:pPr>
        <w:ind w:left="4867" w:hanging="360"/>
      </w:pPr>
      <w:rPr>
        <w:rFonts w:ascii="Wingdings" w:hAnsi="Wingdings" w:hint="default"/>
      </w:rPr>
    </w:lvl>
    <w:lvl w:ilvl="6" w:tplc="BEF6843A" w:tentative="1">
      <w:start w:val="1"/>
      <w:numFmt w:val="bullet"/>
      <w:lvlText w:val=""/>
      <w:lvlJc w:val="left"/>
      <w:pPr>
        <w:ind w:left="5587" w:hanging="360"/>
      </w:pPr>
      <w:rPr>
        <w:rFonts w:ascii="Symbol" w:hAnsi="Symbol" w:hint="default"/>
      </w:rPr>
    </w:lvl>
    <w:lvl w:ilvl="7" w:tplc="33B647E2" w:tentative="1">
      <w:start w:val="1"/>
      <w:numFmt w:val="bullet"/>
      <w:lvlText w:val="o"/>
      <w:lvlJc w:val="left"/>
      <w:pPr>
        <w:ind w:left="6307" w:hanging="360"/>
      </w:pPr>
      <w:rPr>
        <w:rFonts w:ascii="Courier New" w:hAnsi="Courier New" w:cs="Courier New" w:hint="default"/>
      </w:rPr>
    </w:lvl>
    <w:lvl w:ilvl="8" w:tplc="2B04B268" w:tentative="1">
      <w:start w:val="1"/>
      <w:numFmt w:val="bullet"/>
      <w:lvlText w:val=""/>
      <w:lvlJc w:val="left"/>
      <w:pPr>
        <w:ind w:left="7027" w:hanging="360"/>
      </w:pPr>
      <w:rPr>
        <w:rFonts w:ascii="Wingdings" w:hAnsi="Wingdings" w:hint="default"/>
      </w:rPr>
    </w:lvl>
  </w:abstractNum>
  <w:abstractNum w:abstractNumId="3" w15:restartNumberingAfterBreak="0">
    <w:nsid w:val="6F9D1AE4"/>
    <w:multiLevelType w:val="hybridMultilevel"/>
    <w:tmpl w:val="ACC6C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endnotePr>
    <w:numFmt w:val="decimal"/>
    <w:numRestart w:val="eachSect"/>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2E"/>
    <w:rsid w:val="0074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91AD"/>
  <w15:chartTrackingRefBased/>
  <w15:docId w15:val="{AB8B40FB-9DF5-4B88-B852-DE2A4976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2E"/>
    <w:pPr>
      <w:tabs>
        <w:tab w:val="left" w:pos="720"/>
        <w:tab w:val="left" w:pos="1080"/>
        <w:tab w:val="left" w:pos="1440"/>
        <w:tab w:val="left" w:pos="1800"/>
      </w:tabs>
      <w:spacing w:after="240" w:line="240" w:lineRule="auto"/>
    </w:pPr>
    <w:rPr>
      <w:rFonts w:ascii="Book Antiqua" w:eastAsia="Times New Roman" w:hAnsi="Book Antiqua" w:cs="Times New Roman"/>
      <w:szCs w:val="24"/>
    </w:rPr>
  </w:style>
  <w:style w:type="paragraph" w:styleId="Heading3">
    <w:name w:val="heading 3"/>
    <w:aliases w:val="Heading 3 Char Char1 Char,Heading 3 Char Char1 Char Char Char Char,Heading 3 Char Char1 Char Char Char Char Char Char Char,Heading 3 Char Char1 Char Char Char Char Char Char Char Char,Heading 3 Char2 Char Char Char11"/>
    <w:next w:val="Normal"/>
    <w:link w:val="Heading3Char"/>
    <w:qFormat/>
    <w:rsid w:val="0074112E"/>
    <w:pPr>
      <w:keepNext/>
      <w:keepLines/>
      <w:spacing w:after="240" w:line="240" w:lineRule="auto"/>
      <w:outlineLvl w:val="2"/>
    </w:pPr>
    <w:rPr>
      <w:rFonts w:ascii="Arial" w:eastAsia="Times New Roman" w:hAnsi="Arial" w:cs="Times New Roman"/>
      <w:b/>
      <w:caps/>
      <w:sz w:val="24"/>
      <w:szCs w:val="24"/>
    </w:rPr>
  </w:style>
  <w:style w:type="paragraph" w:styleId="Heading4">
    <w:name w:val="heading 4"/>
    <w:next w:val="Normal"/>
    <w:link w:val="Heading4Char"/>
    <w:qFormat/>
    <w:rsid w:val="0074112E"/>
    <w:pPr>
      <w:keepNext/>
      <w:keepLines/>
      <w:spacing w:after="24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1 Char Char,Heading 3 Char Char1 Char Char Char Char Char,Heading 3 Char Char1 Char Char Char Char Char Char Char Char1,Heading 3 Char Char1 Char Char Char Char Char Char Char Char Char"/>
    <w:basedOn w:val="DefaultParagraphFont"/>
    <w:link w:val="Heading3"/>
    <w:rsid w:val="0074112E"/>
    <w:rPr>
      <w:rFonts w:ascii="Arial" w:eastAsia="Times New Roman" w:hAnsi="Arial" w:cs="Times New Roman"/>
      <w:b/>
      <w:caps/>
      <w:sz w:val="24"/>
      <w:szCs w:val="24"/>
    </w:rPr>
  </w:style>
  <w:style w:type="character" w:customStyle="1" w:styleId="Heading4Char">
    <w:name w:val="Heading 4 Char"/>
    <w:basedOn w:val="DefaultParagraphFont"/>
    <w:link w:val="Heading4"/>
    <w:rsid w:val="0074112E"/>
    <w:rPr>
      <w:rFonts w:ascii="Arial" w:eastAsia="Times New Roman" w:hAnsi="Arial" w:cs="Times New Roman"/>
      <w:b/>
      <w:sz w:val="24"/>
      <w:szCs w:val="24"/>
    </w:rPr>
  </w:style>
  <w:style w:type="character" w:styleId="PageNumber">
    <w:name w:val="page number"/>
    <w:basedOn w:val="DefaultParagraphFont"/>
    <w:rsid w:val="0074112E"/>
  </w:style>
  <w:style w:type="paragraph" w:customStyle="1" w:styleId="Heading3notc">
    <w:name w:val="Heading 3 no tc"/>
    <w:basedOn w:val="Heading3"/>
    <w:next w:val="Normal"/>
    <w:rsid w:val="0074112E"/>
    <w:pPr>
      <w:outlineLvl w:val="9"/>
    </w:pPr>
  </w:style>
  <w:style w:type="paragraph" w:styleId="Header">
    <w:name w:val="header"/>
    <w:aliases w:val="HeaderforTofC"/>
    <w:basedOn w:val="Normal"/>
    <w:link w:val="HeaderChar"/>
    <w:uiPriority w:val="99"/>
    <w:rsid w:val="0074112E"/>
    <w:pPr>
      <w:tabs>
        <w:tab w:val="clear" w:pos="720"/>
        <w:tab w:val="clear" w:pos="1080"/>
        <w:tab w:val="clear" w:pos="1440"/>
        <w:tab w:val="clear" w:pos="1800"/>
        <w:tab w:val="center" w:pos="4320"/>
        <w:tab w:val="right" w:pos="8640"/>
      </w:tabs>
    </w:pPr>
  </w:style>
  <w:style w:type="character" w:customStyle="1" w:styleId="HeaderChar">
    <w:name w:val="Header Char"/>
    <w:aliases w:val="HeaderforTofC Char"/>
    <w:basedOn w:val="DefaultParagraphFont"/>
    <w:link w:val="Header"/>
    <w:uiPriority w:val="99"/>
    <w:rsid w:val="0074112E"/>
    <w:rPr>
      <w:rFonts w:ascii="Book Antiqua" w:eastAsia="Times New Roman" w:hAnsi="Book Antiqua" w:cs="Times New Roman"/>
      <w:szCs w:val="24"/>
    </w:rPr>
  </w:style>
  <w:style w:type="paragraph" w:styleId="ListParagraph">
    <w:name w:val="List Paragraph"/>
    <w:basedOn w:val="Normal"/>
    <w:link w:val="ListParagraphChar"/>
    <w:uiPriority w:val="1"/>
    <w:qFormat/>
    <w:rsid w:val="0074112E"/>
    <w:pPr>
      <w:ind w:left="720"/>
      <w:contextualSpacing/>
    </w:pPr>
  </w:style>
  <w:style w:type="paragraph" w:customStyle="1" w:styleId="BulletVEC">
    <w:name w:val="Bullet VEC"/>
    <w:link w:val="BulletVECChar"/>
    <w:qFormat/>
    <w:rsid w:val="0074112E"/>
    <w:pPr>
      <w:numPr>
        <w:numId w:val="1"/>
      </w:numPr>
      <w:spacing w:after="0" w:line="240" w:lineRule="auto"/>
      <w:ind w:right="72"/>
      <w:contextualSpacing/>
    </w:pPr>
    <w:rPr>
      <w:rFonts w:ascii="Book Antiqua" w:eastAsia="Times New Roman" w:hAnsi="Book Antiqua" w:cs="Book Antiqua"/>
    </w:rPr>
  </w:style>
  <w:style w:type="character" w:customStyle="1" w:styleId="BulletVECChar">
    <w:name w:val="Bullet VEC Char"/>
    <w:basedOn w:val="DefaultParagraphFont"/>
    <w:link w:val="BulletVEC"/>
    <w:rsid w:val="0074112E"/>
    <w:rPr>
      <w:rFonts w:ascii="Book Antiqua" w:eastAsia="Times New Roman" w:hAnsi="Book Antiqua" w:cs="Book Antiqua"/>
    </w:rPr>
  </w:style>
  <w:style w:type="character" w:customStyle="1" w:styleId="ListParagraphChar">
    <w:name w:val="List Paragraph Char"/>
    <w:basedOn w:val="DefaultParagraphFont"/>
    <w:link w:val="ListParagraph"/>
    <w:uiPriority w:val="1"/>
    <w:rsid w:val="0074112E"/>
    <w:rPr>
      <w:rFonts w:ascii="Book Antiqua" w:eastAsia="Times New Roman" w:hAnsi="Book Antiqu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2329</Words>
  <Characters>13277</Characters>
  <Application>Microsoft Office Word</Application>
  <DocSecurity>0</DocSecurity>
  <Lines>110</Lines>
  <Paragraphs>31</Paragraphs>
  <ScaleCrop>false</ScaleCrop>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Gormley</dc:creator>
  <cp:keywords/>
  <dc:description/>
  <cp:lastModifiedBy>Jean Gormley</cp:lastModifiedBy>
  <cp:revision>1</cp:revision>
  <dcterms:created xsi:type="dcterms:W3CDTF">2020-04-27T21:11:00Z</dcterms:created>
  <dcterms:modified xsi:type="dcterms:W3CDTF">2020-04-27T21:14:00Z</dcterms:modified>
</cp:coreProperties>
</file>