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FE6B" w14:textId="77777777" w:rsidR="006334CF" w:rsidRDefault="006334CF" w:rsidP="006334CF">
      <w:pPr>
        <w:pStyle w:val="Heading3"/>
      </w:pPr>
      <w:bookmarkStart w:id="0" w:name="_Toc309216504"/>
      <w:bookmarkStart w:id="1" w:name="_Toc309216662"/>
      <w:bookmarkStart w:id="2" w:name="_Toc326134572"/>
      <w:bookmarkStart w:id="3" w:name="_Toc370292730"/>
      <w:bookmarkStart w:id="4" w:name="_Toc8216445"/>
      <w:r>
        <w:t xml:space="preserve">Resume of James C. Reynolds, </w:t>
      </w:r>
      <w:r w:rsidRPr="00BC1CAF">
        <w:t>PE</w:t>
      </w:r>
      <w:bookmarkEnd w:id="0"/>
      <w:bookmarkEnd w:id="1"/>
      <w:bookmarkEnd w:id="2"/>
      <w:bookmarkEnd w:id="3"/>
      <w:bookmarkEnd w:id="4"/>
    </w:p>
    <w:p w14:paraId="02F51C47" w14:textId="77777777" w:rsidR="006334CF" w:rsidRPr="00D874D1" w:rsidRDefault="006334CF" w:rsidP="006334CF">
      <w:pPr>
        <w:pStyle w:val="Heading4"/>
      </w:pPr>
      <w:bookmarkStart w:id="5" w:name="_Toc296019184"/>
      <w:bookmarkStart w:id="6" w:name="_Toc296068052"/>
      <w:bookmarkStart w:id="7" w:name="_Toc299039289"/>
      <w:bookmarkStart w:id="8" w:name="_Toc299096532"/>
      <w:bookmarkStart w:id="9" w:name="_Toc299101248"/>
      <w:bookmarkStart w:id="10" w:name="_Toc299275509"/>
      <w:bookmarkStart w:id="11" w:name="_Toc299354604"/>
      <w:bookmarkStart w:id="12" w:name="_Toc303931230"/>
      <w:bookmarkStart w:id="13" w:name="_Toc303931799"/>
      <w:bookmarkStart w:id="14" w:name="_Toc308015915"/>
      <w:bookmarkStart w:id="15" w:name="_Toc309212530"/>
      <w:bookmarkStart w:id="16" w:name="_Toc309216505"/>
      <w:bookmarkStart w:id="17" w:name="_Toc309216663"/>
      <w:bookmarkStart w:id="18" w:name="_Toc326131975"/>
      <w:bookmarkStart w:id="19" w:name="_Toc326134573"/>
      <w:bookmarkStart w:id="20" w:name="_Toc370212248"/>
      <w:bookmarkStart w:id="21" w:name="_Toc370289882"/>
      <w:bookmarkStart w:id="22" w:name="_Toc370292731"/>
      <w:bookmarkStart w:id="23" w:name="_Toc8117638"/>
      <w:bookmarkStart w:id="24" w:name="_Toc8132116"/>
      <w:bookmarkStart w:id="25" w:name="_Toc8146269"/>
      <w:bookmarkStart w:id="26" w:name="_Toc8148254"/>
      <w:bookmarkStart w:id="27" w:name="_Toc8148363"/>
      <w:bookmarkStart w:id="28" w:name="_Toc8148480"/>
      <w:bookmarkStart w:id="29" w:name="_Toc8191058"/>
      <w:bookmarkStart w:id="30" w:name="_Toc8216446"/>
      <w:r w:rsidRPr="00D874D1">
        <w:t>Summary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04A7543" w14:textId="77777777" w:rsidR="006334CF" w:rsidRDefault="006334CF" w:rsidP="006334CF">
      <w:r>
        <w:t>Through the past twenty years Jim Reynolds has been actively involved with all phases of the water and wastewater industry. He his experience ranged from engineering and production to that of Executive Director of the Florida Keys Aqueduct Authority (FKAA) for almost a decade.  Before his tenure with FKAA and since leaving that position in 2012, he has worked on a number of major projects with small utilities throughout the US.</w:t>
      </w:r>
    </w:p>
    <w:p w14:paraId="138137ED" w14:textId="77777777" w:rsidR="006334CF" w:rsidRDefault="006334CF" w:rsidP="006334CF">
      <w:pPr>
        <w:pStyle w:val="Heading4"/>
      </w:pPr>
      <w:bookmarkStart w:id="31" w:name="_Toc370212249"/>
      <w:bookmarkStart w:id="32" w:name="_Toc370289883"/>
      <w:bookmarkStart w:id="33" w:name="_Toc370292732"/>
      <w:bookmarkStart w:id="34" w:name="_Toc8117639"/>
      <w:bookmarkStart w:id="35" w:name="_Toc8132117"/>
      <w:bookmarkStart w:id="36" w:name="_Toc8146270"/>
      <w:bookmarkStart w:id="37" w:name="_Toc8148255"/>
      <w:bookmarkStart w:id="38" w:name="_Toc8148364"/>
      <w:bookmarkStart w:id="39" w:name="_Toc8148481"/>
      <w:bookmarkStart w:id="40" w:name="_Toc8191059"/>
      <w:bookmarkStart w:id="41" w:name="_Toc8216447"/>
      <w:r>
        <w:t>Direct Utility Experience</w:t>
      </w:r>
      <w:bookmarkEnd w:id="31"/>
      <w:bookmarkEnd w:id="32"/>
      <w:bookmarkEnd w:id="33"/>
      <w:bookmarkEnd w:id="34"/>
      <w:bookmarkEnd w:id="35"/>
      <w:bookmarkEnd w:id="36"/>
      <w:bookmarkEnd w:id="37"/>
      <w:bookmarkEnd w:id="38"/>
      <w:bookmarkEnd w:id="39"/>
      <w:bookmarkEnd w:id="40"/>
      <w:bookmarkEnd w:id="41"/>
    </w:p>
    <w:p w14:paraId="5F4B4C7F" w14:textId="77777777" w:rsidR="006334CF" w:rsidRPr="00A20665" w:rsidRDefault="006334CF" w:rsidP="006334CF">
      <w:pPr>
        <w:pStyle w:val="Heading5"/>
        <w:ind w:left="0"/>
        <w:rPr>
          <w:i/>
          <w:spacing w:val="-5"/>
          <w:w w:val="105"/>
        </w:rPr>
      </w:pPr>
      <w:bookmarkStart w:id="42" w:name="_Toc370212250"/>
      <w:bookmarkStart w:id="43" w:name="_Toc370289884"/>
      <w:bookmarkStart w:id="44" w:name="_Toc370292733"/>
      <w:bookmarkStart w:id="45" w:name="_Toc8117640"/>
      <w:bookmarkStart w:id="46" w:name="_Toc8132118"/>
      <w:bookmarkStart w:id="47" w:name="_Toc8146271"/>
      <w:bookmarkStart w:id="48" w:name="_Toc8148256"/>
      <w:bookmarkStart w:id="49" w:name="_Toc8148365"/>
      <w:bookmarkStart w:id="50" w:name="_Toc8148482"/>
      <w:bookmarkStart w:id="51" w:name="_Toc8191060"/>
      <w:bookmarkStart w:id="52" w:name="_Toc8216448"/>
      <w:r w:rsidRPr="00A20665">
        <w:rPr>
          <w:i/>
          <w:w w:val="105"/>
        </w:rPr>
        <w:t>FLORIDA KEYS AQUEDUCT AUTHORITY (FKAA)</w:t>
      </w:r>
      <w:bookmarkEnd w:id="42"/>
      <w:bookmarkEnd w:id="43"/>
      <w:bookmarkEnd w:id="44"/>
      <w:bookmarkEnd w:id="45"/>
      <w:bookmarkEnd w:id="46"/>
      <w:bookmarkEnd w:id="47"/>
      <w:bookmarkEnd w:id="48"/>
      <w:bookmarkEnd w:id="49"/>
      <w:bookmarkEnd w:id="50"/>
      <w:bookmarkEnd w:id="51"/>
      <w:bookmarkEnd w:id="52"/>
      <w:r w:rsidRPr="00A20665">
        <w:rPr>
          <w:i/>
          <w:w w:val="105"/>
        </w:rPr>
        <w:t xml:space="preserve"> </w:t>
      </w:r>
    </w:p>
    <w:p w14:paraId="66C29653" w14:textId="77777777" w:rsidR="006334CF" w:rsidRPr="00A20665" w:rsidRDefault="006334CF" w:rsidP="006334CF">
      <w:pPr>
        <w:tabs>
          <w:tab w:val="right" w:pos="7834"/>
        </w:tabs>
        <w:spacing w:after="120"/>
        <w:ind w:left="720"/>
        <w:rPr>
          <w:iCs/>
          <w:spacing w:val="-4"/>
          <w:w w:val="105"/>
          <w:szCs w:val="22"/>
        </w:rPr>
      </w:pPr>
      <w:r w:rsidRPr="00A20665">
        <w:rPr>
          <w:iCs/>
          <w:spacing w:val="-10"/>
          <w:w w:val="105"/>
          <w:szCs w:val="22"/>
        </w:rPr>
        <w:t>Executive Director:</w:t>
      </w:r>
      <w:r w:rsidRPr="00A20665">
        <w:rPr>
          <w:iCs/>
          <w:spacing w:val="-10"/>
          <w:w w:val="105"/>
          <w:szCs w:val="22"/>
        </w:rPr>
        <w:tab/>
      </w:r>
      <w:r w:rsidRPr="00A20665">
        <w:rPr>
          <w:iCs/>
          <w:spacing w:val="-4"/>
          <w:w w:val="105"/>
          <w:szCs w:val="22"/>
        </w:rPr>
        <w:t>June 2003 to May 2012</w:t>
      </w:r>
    </w:p>
    <w:p w14:paraId="520DE776" w14:textId="77777777" w:rsidR="006334CF" w:rsidRPr="00A20665" w:rsidRDefault="006334CF" w:rsidP="006334CF">
      <w:pPr>
        <w:tabs>
          <w:tab w:val="right" w:pos="8213"/>
        </w:tabs>
        <w:spacing w:after="120"/>
        <w:ind w:left="720"/>
        <w:rPr>
          <w:iCs/>
          <w:spacing w:val="-4"/>
          <w:w w:val="105"/>
          <w:szCs w:val="22"/>
        </w:rPr>
      </w:pPr>
      <w:r w:rsidRPr="00A20665">
        <w:rPr>
          <w:iCs/>
          <w:spacing w:val="-10"/>
          <w:w w:val="105"/>
          <w:szCs w:val="22"/>
        </w:rPr>
        <w:t>Deputy Executive Director:</w:t>
      </w:r>
      <w:r w:rsidRPr="00A20665">
        <w:rPr>
          <w:iCs/>
          <w:spacing w:val="-10"/>
          <w:w w:val="105"/>
          <w:szCs w:val="22"/>
        </w:rPr>
        <w:tab/>
      </w:r>
      <w:r w:rsidRPr="00A20665">
        <w:rPr>
          <w:iCs/>
          <w:spacing w:val="-4"/>
          <w:w w:val="105"/>
          <w:szCs w:val="22"/>
        </w:rPr>
        <w:t>October, 1997 to June 2003</w:t>
      </w:r>
    </w:p>
    <w:p w14:paraId="7A7576A0" w14:textId="77777777" w:rsidR="006334CF" w:rsidRPr="00A20665" w:rsidRDefault="006334CF" w:rsidP="006334CF">
      <w:pPr>
        <w:tabs>
          <w:tab w:val="right" w:pos="8342"/>
        </w:tabs>
        <w:spacing w:after="120"/>
        <w:ind w:left="720"/>
        <w:rPr>
          <w:iCs/>
          <w:spacing w:val="-4"/>
          <w:w w:val="105"/>
          <w:szCs w:val="22"/>
        </w:rPr>
      </w:pPr>
      <w:r w:rsidRPr="00A20665">
        <w:rPr>
          <w:iCs/>
          <w:spacing w:val="-9"/>
          <w:w w:val="105"/>
          <w:szCs w:val="22"/>
        </w:rPr>
        <w:t>Director of Engineering and Production:</w:t>
      </w:r>
      <w:r w:rsidRPr="00A20665">
        <w:rPr>
          <w:iCs/>
          <w:spacing w:val="-9"/>
          <w:w w:val="105"/>
          <w:szCs w:val="22"/>
        </w:rPr>
        <w:tab/>
      </w:r>
      <w:r w:rsidRPr="00A20665">
        <w:rPr>
          <w:iCs/>
          <w:spacing w:val="-4"/>
          <w:w w:val="105"/>
          <w:szCs w:val="22"/>
        </w:rPr>
        <w:t>March 1997 to October 1997</w:t>
      </w:r>
    </w:p>
    <w:p w14:paraId="0754D363" w14:textId="77777777" w:rsidR="006334CF" w:rsidRPr="00A20665" w:rsidRDefault="006334CF" w:rsidP="006334CF">
      <w:pPr>
        <w:tabs>
          <w:tab w:val="right" w:pos="8040"/>
        </w:tabs>
        <w:spacing w:after="120"/>
        <w:ind w:left="720"/>
        <w:rPr>
          <w:rFonts w:ascii="Courier New" w:hAnsi="Courier New" w:cs="Courier New"/>
          <w:spacing w:val="-4"/>
          <w:sz w:val="6"/>
          <w:szCs w:val="6"/>
        </w:rPr>
      </w:pPr>
      <w:r w:rsidRPr="00A20665">
        <w:rPr>
          <w:iCs/>
          <w:spacing w:val="-8"/>
          <w:w w:val="105"/>
          <w:szCs w:val="22"/>
        </w:rPr>
        <w:t>Director of Engineering:</w:t>
      </w:r>
      <w:r w:rsidRPr="00A20665">
        <w:rPr>
          <w:iCs/>
          <w:spacing w:val="-8"/>
          <w:w w:val="105"/>
          <w:szCs w:val="22"/>
        </w:rPr>
        <w:tab/>
      </w:r>
      <w:r w:rsidRPr="00A20665">
        <w:rPr>
          <w:iCs/>
          <w:spacing w:val="-4"/>
          <w:w w:val="105"/>
          <w:szCs w:val="22"/>
        </w:rPr>
        <w:t>June 1994 to March 1997</w:t>
      </w:r>
    </w:p>
    <w:p w14:paraId="5C3E28CC" w14:textId="77777777" w:rsidR="006334CF" w:rsidRDefault="006334CF" w:rsidP="006334CF">
      <w:pPr>
        <w:rPr>
          <w:spacing w:val="-4"/>
          <w:w w:val="105"/>
        </w:rPr>
      </w:pPr>
      <w:r>
        <w:rPr>
          <w:w w:val="105"/>
        </w:rPr>
        <w:t xml:space="preserve">Responsibilities involved the management of the day-to-day operation of a Special District water and wastewater </w:t>
      </w:r>
      <w:r>
        <w:rPr>
          <w:spacing w:val="-3"/>
          <w:w w:val="105"/>
        </w:rPr>
        <w:t xml:space="preserve">utility in Monroe County, Florida on behalf of a five member governing Board that is appointed by the Governor </w:t>
      </w:r>
      <w:r>
        <w:rPr>
          <w:w w:val="105"/>
        </w:rPr>
        <w:t xml:space="preserve">of Florida. The FKAA is an autonomous utility that includes the Departments of Operation, Engineering, </w:t>
      </w:r>
      <w:r>
        <w:rPr>
          <w:spacing w:val="-4"/>
          <w:w w:val="105"/>
        </w:rPr>
        <w:t>Finance, Customer Service, and Human Resources.</w:t>
      </w:r>
    </w:p>
    <w:p w14:paraId="57AFFDEA" w14:textId="77777777" w:rsidR="006334CF" w:rsidRPr="00A20665" w:rsidRDefault="006334CF" w:rsidP="006334CF">
      <w:pPr>
        <w:pStyle w:val="Heading5"/>
        <w:ind w:left="0"/>
        <w:rPr>
          <w:i/>
          <w:w w:val="105"/>
        </w:rPr>
      </w:pPr>
      <w:bookmarkStart w:id="53" w:name="_Toc370212251"/>
      <w:bookmarkStart w:id="54" w:name="_Toc370289885"/>
      <w:bookmarkStart w:id="55" w:name="_Toc370292734"/>
      <w:bookmarkStart w:id="56" w:name="_Toc8117641"/>
      <w:bookmarkStart w:id="57" w:name="_Toc8132119"/>
      <w:bookmarkStart w:id="58" w:name="_Toc8146272"/>
      <w:bookmarkStart w:id="59" w:name="_Toc8148257"/>
      <w:bookmarkStart w:id="60" w:name="_Toc8148366"/>
      <w:bookmarkStart w:id="61" w:name="_Toc8148483"/>
      <w:bookmarkStart w:id="62" w:name="_Toc8191061"/>
      <w:bookmarkStart w:id="63" w:name="_Toc8216449"/>
      <w:r w:rsidRPr="00A20665">
        <w:rPr>
          <w:i/>
          <w:w w:val="105"/>
        </w:rPr>
        <w:t>CITY OF DELRAY BEACH</w:t>
      </w:r>
      <w:bookmarkEnd w:id="53"/>
      <w:bookmarkEnd w:id="54"/>
      <w:bookmarkEnd w:id="55"/>
      <w:bookmarkEnd w:id="56"/>
      <w:bookmarkEnd w:id="57"/>
      <w:bookmarkEnd w:id="58"/>
      <w:bookmarkEnd w:id="59"/>
      <w:bookmarkEnd w:id="60"/>
      <w:bookmarkEnd w:id="61"/>
      <w:bookmarkEnd w:id="62"/>
      <w:bookmarkEnd w:id="63"/>
    </w:p>
    <w:p w14:paraId="15ACD1C0" w14:textId="77777777" w:rsidR="006334CF" w:rsidRPr="00A20665" w:rsidRDefault="006334CF" w:rsidP="006334CF">
      <w:pPr>
        <w:tabs>
          <w:tab w:val="right" w:pos="7862"/>
        </w:tabs>
        <w:spacing w:after="120"/>
        <w:ind w:left="720"/>
        <w:rPr>
          <w:iCs/>
          <w:spacing w:val="-4"/>
          <w:w w:val="105"/>
          <w:szCs w:val="22"/>
        </w:rPr>
      </w:pPr>
      <w:r w:rsidRPr="00A20665">
        <w:rPr>
          <w:iCs/>
          <w:spacing w:val="-10"/>
          <w:w w:val="105"/>
          <w:szCs w:val="22"/>
        </w:rPr>
        <w:t>Chief Design Engineer:</w:t>
      </w:r>
      <w:r w:rsidRPr="00A20665">
        <w:rPr>
          <w:iCs/>
          <w:spacing w:val="-10"/>
          <w:w w:val="105"/>
          <w:szCs w:val="22"/>
        </w:rPr>
        <w:tab/>
      </w:r>
      <w:r w:rsidRPr="00A20665">
        <w:rPr>
          <w:iCs/>
          <w:spacing w:val="-4"/>
          <w:w w:val="105"/>
          <w:szCs w:val="22"/>
        </w:rPr>
        <w:t>June 1992 to June 1994</w:t>
      </w:r>
    </w:p>
    <w:p w14:paraId="21F78121" w14:textId="77777777" w:rsidR="006334CF" w:rsidRPr="00A20665" w:rsidRDefault="006334CF" w:rsidP="006334CF">
      <w:pPr>
        <w:tabs>
          <w:tab w:val="right" w:pos="8165"/>
        </w:tabs>
        <w:spacing w:after="120"/>
        <w:ind w:left="720"/>
        <w:rPr>
          <w:rFonts w:ascii="Courier New" w:hAnsi="Courier New" w:cs="Courier New"/>
          <w:iCs/>
          <w:spacing w:val="-4"/>
          <w:sz w:val="6"/>
          <w:szCs w:val="6"/>
        </w:rPr>
      </w:pPr>
      <w:r w:rsidRPr="00A20665">
        <w:rPr>
          <w:iCs/>
          <w:spacing w:val="-8"/>
          <w:w w:val="105"/>
          <w:szCs w:val="22"/>
        </w:rPr>
        <w:t>Engineer I:</w:t>
      </w:r>
      <w:r w:rsidRPr="00A20665">
        <w:rPr>
          <w:iCs/>
          <w:spacing w:val="-8"/>
          <w:w w:val="105"/>
          <w:szCs w:val="22"/>
        </w:rPr>
        <w:tab/>
      </w:r>
      <w:r w:rsidRPr="00A20665">
        <w:rPr>
          <w:iCs/>
          <w:spacing w:val="-8"/>
          <w:w w:val="105"/>
          <w:szCs w:val="22"/>
        </w:rPr>
        <w:tab/>
      </w:r>
      <w:r w:rsidRPr="00A20665">
        <w:rPr>
          <w:iCs/>
          <w:spacing w:val="-4"/>
          <w:w w:val="105"/>
          <w:szCs w:val="22"/>
        </w:rPr>
        <w:t>January 1991 to June 1992</w:t>
      </w:r>
    </w:p>
    <w:p w14:paraId="2F218251" w14:textId="77777777" w:rsidR="006334CF" w:rsidRDefault="006334CF" w:rsidP="006334CF">
      <w:pPr>
        <w:rPr>
          <w:spacing w:val="-4"/>
          <w:w w:val="105"/>
        </w:rPr>
      </w:pPr>
      <w:r>
        <w:rPr>
          <w:w w:val="105"/>
        </w:rPr>
        <w:t xml:space="preserve">Responsible for the design of potable and raw water distribution and transmission systems, sanitary sewer collection and transmission systems, roadways, drainage, and surface water management systems. Supervised and coordinated design staff. </w:t>
      </w:r>
      <w:r>
        <w:rPr>
          <w:spacing w:val="-4"/>
          <w:w w:val="105"/>
        </w:rPr>
        <w:t>Prepared of construction contract documents.</w:t>
      </w:r>
    </w:p>
    <w:p w14:paraId="33912129" w14:textId="77777777" w:rsidR="006334CF" w:rsidRPr="00AD3043" w:rsidRDefault="006334CF" w:rsidP="006334CF">
      <w:pPr>
        <w:pStyle w:val="Heading5"/>
        <w:ind w:left="0"/>
        <w:rPr>
          <w:bCs/>
          <w:w w:val="105"/>
        </w:rPr>
      </w:pPr>
      <w:bookmarkStart w:id="64" w:name="_Toc370212252"/>
      <w:bookmarkStart w:id="65" w:name="_Toc370289886"/>
      <w:bookmarkStart w:id="66" w:name="_Toc370292735"/>
      <w:bookmarkStart w:id="67" w:name="_Toc8117642"/>
      <w:bookmarkStart w:id="68" w:name="_Toc8132120"/>
      <w:bookmarkStart w:id="69" w:name="_Toc8146273"/>
      <w:bookmarkStart w:id="70" w:name="_Toc8148258"/>
      <w:bookmarkStart w:id="71" w:name="_Toc8148367"/>
      <w:bookmarkStart w:id="72" w:name="_Toc8148484"/>
      <w:bookmarkStart w:id="73" w:name="_Toc8191062"/>
      <w:bookmarkStart w:id="74" w:name="_Toc8216450"/>
      <w:r w:rsidRPr="00AD3043">
        <w:rPr>
          <w:bCs/>
          <w:w w:val="105"/>
        </w:rPr>
        <w:t>WILLIAMS, HATFIELD and STONER, Inc.</w:t>
      </w:r>
      <w:bookmarkEnd w:id="64"/>
      <w:bookmarkEnd w:id="65"/>
      <w:bookmarkEnd w:id="66"/>
      <w:bookmarkEnd w:id="67"/>
      <w:bookmarkEnd w:id="68"/>
      <w:bookmarkEnd w:id="69"/>
      <w:bookmarkEnd w:id="70"/>
      <w:bookmarkEnd w:id="71"/>
      <w:bookmarkEnd w:id="72"/>
      <w:bookmarkEnd w:id="73"/>
      <w:bookmarkEnd w:id="74"/>
    </w:p>
    <w:p w14:paraId="61B20386" w14:textId="77777777" w:rsidR="006334CF" w:rsidRPr="00321037" w:rsidRDefault="006334CF" w:rsidP="006334CF">
      <w:pPr>
        <w:tabs>
          <w:tab w:val="right" w:pos="8150"/>
        </w:tabs>
        <w:spacing w:after="120"/>
        <w:ind w:left="720"/>
        <w:rPr>
          <w:iCs/>
          <w:spacing w:val="-4"/>
          <w:w w:val="105"/>
          <w:szCs w:val="22"/>
        </w:rPr>
      </w:pPr>
      <w:r w:rsidRPr="00321037">
        <w:rPr>
          <w:iCs/>
          <w:spacing w:val="-8"/>
          <w:w w:val="105"/>
          <w:szCs w:val="22"/>
        </w:rPr>
        <w:t>Project Manager/Project Engineer:</w:t>
      </w:r>
      <w:r w:rsidRPr="00321037">
        <w:rPr>
          <w:iCs/>
          <w:spacing w:val="-8"/>
          <w:w w:val="105"/>
          <w:szCs w:val="22"/>
        </w:rPr>
        <w:tab/>
      </w:r>
      <w:r w:rsidRPr="00321037">
        <w:rPr>
          <w:iCs/>
          <w:spacing w:val="-4"/>
          <w:w w:val="105"/>
          <w:szCs w:val="22"/>
        </w:rPr>
        <w:t>June 1988 to January 1991</w:t>
      </w:r>
    </w:p>
    <w:p w14:paraId="053E1F86" w14:textId="77777777" w:rsidR="006334CF" w:rsidRDefault="006334CF" w:rsidP="006334CF">
      <w:pPr>
        <w:rPr>
          <w:w w:val="105"/>
        </w:rPr>
      </w:pPr>
      <w:r>
        <w:rPr>
          <w:w w:val="105"/>
        </w:rPr>
        <w:t>Design and permitting of local subdivision roads, turn lanes, parking lots, drainage systems, force mains, gravity sewer mains, lift stations, and water distribution systems.</w:t>
      </w:r>
    </w:p>
    <w:p w14:paraId="3B4C041D" w14:textId="77777777" w:rsidR="006334CF" w:rsidRDefault="006334CF" w:rsidP="006334CF">
      <w:pPr>
        <w:pStyle w:val="Heading4"/>
      </w:pPr>
      <w:bookmarkStart w:id="75" w:name="_Toc370212253"/>
      <w:bookmarkStart w:id="76" w:name="_Toc370289887"/>
      <w:bookmarkStart w:id="77" w:name="_Toc370292736"/>
      <w:bookmarkStart w:id="78" w:name="_Toc8117643"/>
      <w:bookmarkStart w:id="79" w:name="_Toc8132121"/>
      <w:bookmarkStart w:id="80" w:name="_Toc8146274"/>
      <w:bookmarkStart w:id="81" w:name="_Toc8148259"/>
      <w:bookmarkStart w:id="82" w:name="_Toc8148368"/>
      <w:bookmarkStart w:id="83" w:name="_Toc8148485"/>
      <w:bookmarkStart w:id="84" w:name="_Toc8191063"/>
      <w:bookmarkStart w:id="85" w:name="_Toc8216451"/>
      <w:r>
        <w:t>Education</w:t>
      </w:r>
      <w:r w:rsidRPr="00F635CD">
        <w:t>.</w:t>
      </w:r>
      <w:bookmarkEnd w:id="75"/>
      <w:bookmarkEnd w:id="76"/>
      <w:bookmarkEnd w:id="77"/>
      <w:bookmarkEnd w:id="78"/>
      <w:bookmarkEnd w:id="79"/>
      <w:bookmarkEnd w:id="80"/>
      <w:bookmarkEnd w:id="81"/>
      <w:bookmarkEnd w:id="82"/>
      <w:bookmarkEnd w:id="83"/>
      <w:bookmarkEnd w:id="84"/>
      <w:bookmarkEnd w:id="85"/>
    </w:p>
    <w:p w14:paraId="6E469B5B" w14:textId="77777777" w:rsidR="006334CF" w:rsidRPr="007E1F31" w:rsidRDefault="006334CF" w:rsidP="006334CF">
      <w:pPr>
        <w:pStyle w:val="ListParagraph"/>
        <w:numPr>
          <w:ilvl w:val="0"/>
          <w:numId w:val="4"/>
        </w:numPr>
        <w:tabs>
          <w:tab w:val="left" w:pos="720"/>
          <w:tab w:val="left" w:pos="1080"/>
          <w:tab w:val="left" w:pos="1440"/>
          <w:tab w:val="left" w:pos="1800"/>
        </w:tabs>
        <w:spacing w:after="240"/>
        <w:rPr>
          <w:rFonts w:ascii="Book Antiqua" w:hAnsi="Book Antiqua"/>
          <w:sz w:val="22"/>
          <w:szCs w:val="22"/>
        </w:rPr>
      </w:pPr>
      <w:r w:rsidRPr="007E1F31">
        <w:rPr>
          <w:rFonts w:ascii="Book Antiqua" w:hAnsi="Book Antiqua" w:cs="Courier New"/>
          <w:bCs/>
          <w:spacing w:val="-6"/>
          <w:w w:val="105"/>
          <w:sz w:val="22"/>
          <w:szCs w:val="22"/>
        </w:rPr>
        <w:t xml:space="preserve">University of Florida, </w:t>
      </w:r>
      <w:r w:rsidRPr="007E1F31">
        <w:rPr>
          <w:rFonts w:ascii="Book Antiqua" w:hAnsi="Book Antiqua"/>
          <w:w w:val="105"/>
          <w:sz w:val="22"/>
          <w:szCs w:val="22"/>
        </w:rPr>
        <w:t>B.S., Civil Engineering, 1988</w:t>
      </w:r>
    </w:p>
    <w:p w14:paraId="25C2F58F" w14:textId="77777777" w:rsidR="006334CF" w:rsidRPr="007E1F31" w:rsidRDefault="006334CF" w:rsidP="006334CF">
      <w:pPr>
        <w:pStyle w:val="ListParagraph"/>
        <w:numPr>
          <w:ilvl w:val="0"/>
          <w:numId w:val="4"/>
        </w:numPr>
        <w:tabs>
          <w:tab w:val="left" w:pos="720"/>
          <w:tab w:val="left" w:pos="1080"/>
          <w:tab w:val="left" w:pos="1440"/>
          <w:tab w:val="left" w:pos="1800"/>
        </w:tabs>
        <w:spacing w:after="240"/>
        <w:rPr>
          <w:rFonts w:ascii="Book Antiqua" w:hAnsi="Book Antiqua"/>
          <w:sz w:val="22"/>
          <w:szCs w:val="22"/>
        </w:rPr>
      </w:pPr>
      <w:proofErr w:type="spellStart"/>
      <w:r w:rsidRPr="007E1F31">
        <w:rPr>
          <w:rFonts w:ascii="Book Antiqua" w:hAnsi="Book Antiqua" w:cs="Courier New"/>
          <w:bCs/>
          <w:spacing w:val="-6"/>
          <w:w w:val="105"/>
          <w:sz w:val="22"/>
          <w:szCs w:val="22"/>
        </w:rPr>
        <w:t>Dutchess</w:t>
      </w:r>
      <w:proofErr w:type="spellEnd"/>
      <w:r w:rsidRPr="007E1F31">
        <w:rPr>
          <w:rFonts w:ascii="Book Antiqua" w:hAnsi="Book Antiqua" w:cs="Courier New"/>
          <w:bCs/>
          <w:spacing w:val="-6"/>
          <w:w w:val="105"/>
          <w:sz w:val="22"/>
          <w:szCs w:val="22"/>
        </w:rPr>
        <w:t xml:space="preserve"> County Community College</w:t>
      </w:r>
      <w:r w:rsidRPr="007E1F31">
        <w:rPr>
          <w:rFonts w:ascii="Book Antiqua" w:hAnsi="Book Antiqua"/>
          <w:spacing w:val="-4"/>
          <w:w w:val="105"/>
          <w:sz w:val="22"/>
          <w:szCs w:val="22"/>
        </w:rPr>
        <w:t>. AS Engineering, 1984</w:t>
      </w:r>
      <w:r w:rsidRPr="007E1F31">
        <w:rPr>
          <w:rFonts w:ascii="Book Antiqua" w:hAnsi="Book Antiqua" w:cs="Courier New"/>
          <w:spacing w:val="-4"/>
          <w:w w:val="105"/>
          <w:sz w:val="22"/>
          <w:szCs w:val="22"/>
        </w:rPr>
        <w:t>4</w:t>
      </w:r>
    </w:p>
    <w:p w14:paraId="43534065" w14:textId="77777777" w:rsidR="006334CF" w:rsidRDefault="006334CF" w:rsidP="006334CF">
      <w:pPr>
        <w:pStyle w:val="Heading4"/>
        <w:rPr>
          <w:w w:val="105"/>
        </w:rPr>
      </w:pPr>
      <w:bookmarkStart w:id="86" w:name="_Toc370212254"/>
      <w:bookmarkStart w:id="87" w:name="_Toc370289888"/>
      <w:bookmarkStart w:id="88" w:name="_Toc370292737"/>
      <w:bookmarkStart w:id="89" w:name="_Toc8117644"/>
      <w:bookmarkStart w:id="90" w:name="_Toc8132122"/>
      <w:bookmarkStart w:id="91" w:name="_Toc8146275"/>
      <w:bookmarkStart w:id="92" w:name="_Toc8148260"/>
      <w:bookmarkStart w:id="93" w:name="_Toc8148369"/>
      <w:bookmarkStart w:id="94" w:name="_Toc8148486"/>
      <w:bookmarkStart w:id="95" w:name="_Toc8191064"/>
      <w:bookmarkStart w:id="96" w:name="_Toc8216452"/>
      <w:r>
        <w:rPr>
          <w:w w:val="105"/>
        </w:rPr>
        <w:lastRenderedPageBreak/>
        <w:t>Professional Registration and Associations</w:t>
      </w:r>
      <w:bookmarkEnd w:id="86"/>
      <w:bookmarkEnd w:id="87"/>
      <w:bookmarkEnd w:id="88"/>
      <w:bookmarkEnd w:id="89"/>
      <w:bookmarkEnd w:id="90"/>
      <w:bookmarkEnd w:id="91"/>
      <w:bookmarkEnd w:id="92"/>
      <w:bookmarkEnd w:id="93"/>
      <w:bookmarkEnd w:id="94"/>
      <w:bookmarkEnd w:id="95"/>
      <w:bookmarkEnd w:id="96"/>
    </w:p>
    <w:p w14:paraId="6BDA4D89"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bCs/>
          <w:w w:val="105"/>
          <w:sz w:val="22"/>
          <w:szCs w:val="22"/>
        </w:rPr>
      </w:pPr>
      <w:r w:rsidRPr="007E1F31">
        <w:rPr>
          <w:rFonts w:ascii="Book Antiqua" w:hAnsi="Book Antiqua"/>
          <w:bCs/>
          <w:w w:val="105"/>
          <w:sz w:val="22"/>
          <w:szCs w:val="22"/>
        </w:rPr>
        <w:t xml:space="preserve">Florida Professional Engineering Registration No. 46685 </w:t>
      </w:r>
    </w:p>
    <w:p w14:paraId="30DD81B9"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bCs/>
          <w:w w:val="105"/>
          <w:sz w:val="22"/>
          <w:szCs w:val="22"/>
        </w:rPr>
      </w:pPr>
      <w:r w:rsidRPr="007E1F31">
        <w:rPr>
          <w:rFonts w:ascii="Book Antiqua" w:hAnsi="Book Antiqua"/>
          <w:bCs/>
          <w:w w:val="105"/>
          <w:sz w:val="22"/>
          <w:szCs w:val="22"/>
        </w:rPr>
        <w:t>New York State Professional Engineering Registration No. 084185</w:t>
      </w:r>
    </w:p>
    <w:p w14:paraId="3CC660E9"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w w:val="105"/>
          <w:sz w:val="22"/>
          <w:szCs w:val="22"/>
        </w:rPr>
      </w:pPr>
      <w:r w:rsidRPr="007E1F31">
        <w:rPr>
          <w:rFonts w:ascii="Book Antiqua" w:hAnsi="Book Antiqua"/>
          <w:w w:val="105"/>
          <w:sz w:val="22"/>
          <w:szCs w:val="22"/>
        </w:rPr>
        <w:t>South Florida Water Management District - Water Resources Advisory Commission 2004 to Present</w:t>
      </w:r>
    </w:p>
    <w:p w14:paraId="2180A828"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w w:val="105"/>
          <w:sz w:val="22"/>
          <w:szCs w:val="22"/>
        </w:rPr>
      </w:pPr>
      <w:r w:rsidRPr="007E1F31">
        <w:rPr>
          <w:rFonts w:ascii="Book Antiqua" w:hAnsi="Book Antiqua"/>
          <w:w w:val="105"/>
          <w:sz w:val="22"/>
          <w:szCs w:val="22"/>
        </w:rPr>
        <w:t>Southeast Desalting Association (SEDA) Board Member 1998-2003</w:t>
      </w:r>
    </w:p>
    <w:p w14:paraId="5FBFD461"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spacing w:val="-3"/>
          <w:w w:val="105"/>
          <w:sz w:val="22"/>
          <w:szCs w:val="22"/>
        </w:rPr>
      </w:pPr>
      <w:r w:rsidRPr="007E1F31">
        <w:rPr>
          <w:rFonts w:ascii="Book Antiqua" w:hAnsi="Book Antiqua"/>
          <w:spacing w:val="-3"/>
          <w:w w:val="105"/>
          <w:sz w:val="22"/>
          <w:szCs w:val="22"/>
        </w:rPr>
        <w:t xml:space="preserve">New Water Supply Coalition </w:t>
      </w:r>
      <w:r w:rsidRPr="007E1F31">
        <w:rPr>
          <w:rFonts w:ascii="Book Antiqua" w:hAnsi="Book Antiqua"/>
          <w:spacing w:val="-3"/>
          <w:sz w:val="22"/>
          <w:szCs w:val="22"/>
        </w:rPr>
        <w:t>–</w:t>
      </w:r>
      <w:r w:rsidRPr="007E1F31">
        <w:rPr>
          <w:rFonts w:ascii="Book Antiqua" w:hAnsi="Book Antiqua"/>
          <w:spacing w:val="-3"/>
          <w:w w:val="105"/>
          <w:sz w:val="22"/>
          <w:szCs w:val="22"/>
        </w:rPr>
        <w:t xml:space="preserve"> Vice Chair 2009-2010, Chairman 2010-2011</w:t>
      </w:r>
    </w:p>
    <w:p w14:paraId="5D4382E0"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spacing w:val="-6"/>
          <w:w w:val="105"/>
          <w:sz w:val="22"/>
          <w:szCs w:val="22"/>
        </w:rPr>
      </w:pPr>
      <w:r w:rsidRPr="007E1F31">
        <w:rPr>
          <w:rFonts w:ascii="Book Antiqua" w:hAnsi="Book Antiqua"/>
          <w:w w:val="105"/>
          <w:sz w:val="22"/>
          <w:szCs w:val="22"/>
        </w:rPr>
        <w:t xml:space="preserve">American Water Works Association </w:t>
      </w:r>
    </w:p>
    <w:p w14:paraId="0200ABF6"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spacing w:val="-6"/>
          <w:w w:val="105"/>
          <w:sz w:val="22"/>
          <w:szCs w:val="22"/>
        </w:rPr>
      </w:pPr>
      <w:r w:rsidRPr="007E1F31">
        <w:rPr>
          <w:rFonts w:ascii="Book Antiqua" w:hAnsi="Book Antiqua"/>
          <w:w w:val="105"/>
          <w:sz w:val="22"/>
          <w:szCs w:val="22"/>
        </w:rPr>
        <w:t xml:space="preserve">American Society of Civil Engineers </w:t>
      </w:r>
    </w:p>
    <w:p w14:paraId="6ED1B503"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spacing w:val="-6"/>
          <w:w w:val="105"/>
          <w:sz w:val="22"/>
          <w:szCs w:val="22"/>
        </w:rPr>
      </w:pPr>
      <w:r w:rsidRPr="007E1F31">
        <w:rPr>
          <w:rFonts w:ascii="Book Antiqua" w:hAnsi="Book Antiqua"/>
          <w:spacing w:val="-6"/>
          <w:w w:val="105"/>
          <w:sz w:val="22"/>
          <w:szCs w:val="22"/>
        </w:rPr>
        <w:t>National Society of Professional Engineers</w:t>
      </w:r>
    </w:p>
    <w:p w14:paraId="7E1A1A37"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spacing w:val="-2"/>
          <w:w w:val="105"/>
          <w:sz w:val="22"/>
          <w:szCs w:val="22"/>
        </w:rPr>
      </w:pPr>
      <w:r w:rsidRPr="007E1F31">
        <w:rPr>
          <w:rFonts w:ascii="Book Antiqua" w:hAnsi="Book Antiqua"/>
          <w:spacing w:val="-7"/>
          <w:w w:val="105"/>
          <w:sz w:val="22"/>
          <w:szCs w:val="22"/>
        </w:rPr>
        <w:t xml:space="preserve">Key West Military Affairs Committee </w:t>
      </w:r>
    </w:p>
    <w:p w14:paraId="4A6CB6ED" w14:textId="77777777" w:rsidR="006334CF" w:rsidRPr="007E1F31" w:rsidRDefault="006334CF" w:rsidP="006334CF">
      <w:pPr>
        <w:pStyle w:val="ListParagraph"/>
        <w:numPr>
          <w:ilvl w:val="0"/>
          <w:numId w:val="3"/>
        </w:numPr>
        <w:tabs>
          <w:tab w:val="left" w:pos="720"/>
          <w:tab w:val="left" w:pos="1080"/>
          <w:tab w:val="left" w:pos="1440"/>
          <w:tab w:val="left" w:pos="1800"/>
        </w:tabs>
        <w:spacing w:after="240"/>
        <w:rPr>
          <w:rFonts w:ascii="Book Antiqua" w:hAnsi="Book Antiqua"/>
          <w:spacing w:val="-2"/>
          <w:w w:val="105"/>
          <w:sz w:val="22"/>
          <w:szCs w:val="22"/>
        </w:rPr>
      </w:pPr>
      <w:r w:rsidRPr="007E1F31">
        <w:rPr>
          <w:rFonts w:ascii="Book Antiqua" w:hAnsi="Book Antiqua"/>
          <w:spacing w:val="-7"/>
          <w:w w:val="105"/>
          <w:sz w:val="22"/>
          <w:szCs w:val="22"/>
        </w:rPr>
        <w:t xml:space="preserve">Past Chair </w:t>
      </w:r>
      <w:r w:rsidRPr="007E1F31">
        <w:rPr>
          <w:rFonts w:ascii="Book Antiqua" w:hAnsi="Book Antiqua"/>
          <w:spacing w:val="-2"/>
          <w:w w:val="105"/>
          <w:sz w:val="22"/>
          <w:szCs w:val="22"/>
        </w:rPr>
        <w:t xml:space="preserve">Key West Sunrise Rotary </w:t>
      </w:r>
      <w:r w:rsidRPr="007E1F31">
        <w:rPr>
          <w:rFonts w:ascii="Book Antiqua" w:hAnsi="Book Antiqua"/>
          <w:spacing w:val="-2"/>
          <w:sz w:val="22"/>
          <w:szCs w:val="22"/>
        </w:rPr>
        <w:t>–</w:t>
      </w:r>
      <w:r w:rsidRPr="007E1F31">
        <w:rPr>
          <w:rFonts w:ascii="Book Antiqua" w:hAnsi="Book Antiqua"/>
          <w:spacing w:val="-2"/>
          <w:w w:val="105"/>
          <w:sz w:val="22"/>
          <w:szCs w:val="22"/>
        </w:rPr>
        <w:t xml:space="preserve"> President 2012</w:t>
      </w:r>
    </w:p>
    <w:p w14:paraId="5FE1550A" w14:textId="77777777" w:rsidR="006D093E" w:rsidRDefault="006D093E"/>
    <w:sectPr w:rsidR="006D09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895A5" w14:textId="77777777" w:rsidR="000A44C4" w:rsidRDefault="000A44C4" w:rsidP="006334CF">
      <w:pPr>
        <w:spacing w:after="0"/>
      </w:pPr>
      <w:r>
        <w:separator/>
      </w:r>
    </w:p>
  </w:endnote>
  <w:endnote w:type="continuationSeparator" w:id="0">
    <w:p w14:paraId="372677D8" w14:textId="77777777" w:rsidR="000A44C4" w:rsidRDefault="000A44C4" w:rsidP="006334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544C1" w14:textId="77777777" w:rsidR="000A44C4" w:rsidRDefault="000A44C4" w:rsidP="006334CF">
      <w:pPr>
        <w:spacing w:after="0"/>
      </w:pPr>
      <w:r>
        <w:separator/>
      </w:r>
    </w:p>
  </w:footnote>
  <w:footnote w:type="continuationSeparator" w:id="0">
    <w:p w14:paraId="0A820672" w14:textId="77777777" w:rsidR="000A44C4" w:rsidRDefault="000A44C4" w:rsidP="006334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AECF" w14:textId="77777777" w:rsidR="000154F3" w:rsidRDefault="004C0B96" w:rsidP="000827B7">
    <w:pPr>
      <w:pStyle w:val="Header"/>
      <w:pBdr>
        <w:bottom w:val="thickThinSmallGap" w:sz="24" w:space="1" w:color="823B0B" w:themeColor="accent2" w:themeShade="7F"/>
      </w:pBdr>
      <w:jc w:val="center"/>
      <w:rPr>
        <w:rFonts w:eastAsiaTheme="majorEastAsia" w:cstheme="majorBidi"/>
        <w:szCs w:val="22"/>
      </w:rPr>
    </w:pPr>
    <w:sdt>
      <w:sdtPr>
        <w:rPr>
          <w:rFonts w:eastAsiaTheme="majorEastAsia" w:cstheme="majorBidi"/>
          <w:szCs w:val="22"/>
        </w:rPr>
        <w:alias w:val="Title"/>
        <w:id w:val="-1239174594"/>
        <w:showingPlcHdr/>
        <w:dataBinding w:prefixMappings="xmlns:ns0='http://schemas.openxmlformats.org/package/2006/metadata/core-properties' xmlns:ns1='http://purl.org/dc/elements/1.1/'" w:xpath="/ns0:coreProperties[1]/ns1:title[1]" w:storeItemID="{6C3C8BC8-F283-45AE-878A-BAB7291924A1}"/>
        <w:text/>
      </w:sdtPr>
      <w:sdtEndPr/>
      <w:sdtContent>
        <w:r w:rsidR="000A44C4">
          <w:rPr>
            <w:rFonts w:eastAsiaTheme="majorEastAsia" w:cstheme="majorBidi"/>
            <w:szCs w:val="22"/>
          </w:rPr>
          <w:t xml:space="preserve">     </w:t>
        </w:r>
      </w:sdtContent>
    </w:sdt>
    <w:r w:rsidR="000A44C4">
      <w:rPr>
        <w:rFonts w:eastAsiaTheme="majorEastAsia" w:cstheme="majorBidi"/>
        <w:szCs w:val="22"/>
      </w:rPr>
      <w:t xml:space="preserve"> – Contract 2020-001</w:t>
    </w:r>
  </w:p>
  <w:p w14:paraId="35C900A9" w14:textId="77777777" w:rsidR="000154F3" w:rsidRPr="000827B7" w:rsidRDefault="000A44C4" w:rsidP="000827B7">
    <w:pPr>
      <w:pStyle w:val="Header"/>
      <w:tabs>
        <w:tab w:val="clear" w:pos="8640"/>
        <w:tab w:val="right" w:pos="9000"/>
      </w:tabs>
      <w:rPr>
        <w:b/>
        <w:u w:val="single"/>
      </w:rPr>
    </w:pPr>
    <w:r>
      <w:rPr>
        <w:b/>
        <w:u w:val="single"/>
      </w:rPr>
      <w:t xml:space="preserve"> Resume of Mr. James C. Reynolds, 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F7D"/>
    <w:multiLevelType w:val="hybridMultilevel"/>
    <w:tmpl w:val="F55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53BD"/>
    <w:multiLevelType w:val="multilevel"/>
    <w:tmpl w:val="7394501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D65BAB"/>
    <w:multiLevelType w:val="hybridMultilevel"/>
    <w:tmpl w:val="029E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F152F"/>
    <w:multiLevelType w:val="hybridMultilevel"/>
    <w:tmpl w:val="0BC048E0"/>
    <w:lvl w:ilvl="0" w:tplc="2DE61862">
      <w:start w:val="1"/>
      <w:numFmt w:val="bullet"/>
      <w:lvlText w:val=""/>
      <w:lvlJc w:val="left"/>
      <w:pPr>
        <w:tabs>
          <w:tab w:val="num" w:pos="720"/>
        </w:tabs>
        <w:ind w:left="720" w:hanging="360"/>
      </w:pPr>
      <w:rPr>
        <w:rFonts w:ascii="Symbol" w:hAnsi="Symbol" w:hint="default"/>
        <w:color w:val="auto"/>
        <w:sz w:val="24"/>
        <w:szCs w:val="24"/>
      </w:rPr>
    </w:lvl>
    <w:lvl w:ilvl="1" w:tplc="B868F88C">
      <w:start w:val="1"/>
      <w:numFmt w:val="bullet"/>
      <w:lvlText w:val="o"/>
      <w:lvlJc w:val="left"/>
      <w:pPr>
        <w:tabs>
          <w:tab w:val="num" w:pos="1440"/>
        </w:tabs>
        <w:ind w:left="1440" w:hanging="360"/>
      </w:pPr>
      <w:rPr>
        <w:rFonts w:ascii="Courier New" w:hAnsi="Courier New" w:cs="Arial" w:hint="default"/>
      </w:rPr>
    </w:lvl>
    <w:lvl w:ilvl="2" w:tplc="CFB01D1C" w:tentative="1">
      <w:start w:val="1"/>
      <w:numFmt w:val="bullet"/>
      <w:lvlText w:val=""/>
      <w:lvlJc w:val="left"/>
      <w:pPr>
        <w:tabs>
          <w:tab w:val="num" w:pos="2160"/>
        </w:tabs>
        <w:ind w:left="2160" w:hanging="360"/>
      </w:pPr>
      <w:rPr>
        <w:rFonts w:ascii="Wingdings" w:hAnsi="Wingdings" w:hint="default"/>
      </w:rPr>
    </w:lvl>
    <w:lvl w:ilvl="3" w:tplc="FF481EEE" w:tentative="1">
      <w:start w:val="1"/>
      <w:numFmt w:val="bullet"/>
      <w:lvlText w:val=""/>
      <w:lvlJc w:val="left"/>
      <w:pPr>
        <w:tabs>
          <w:tab w:val="num" w:pos="2880"/>
        </w:tabs>
        <w:ind w:left="2880" w:hanging="360"/>
      </w:pPr>
      <w:rPr>
        <w:rFonts w:ascii="Symbol" w:hAnsi="Symbol" w:hint="default"/>
      </w:rPr>
    </w:lvl>
    <w:lvl w:ilvl="4" w:tplc="EC9E25D8" w:tentative="1">
      <w:start w:val="1"/>
      <w:numFmt w:val="bullet"/>
      <w:lvlText w:val="o"/>
      <w:lvlJc w:val="left"/>
      <w:pPr>
        <w:tabs>
          <w:tab w:val="num" w:pos="3600"/>
        </w:tabs>
        <w:ind w:left="3600" w:hanging="360"/>
      </w:pPr>
      <w:rPr>
        <w:rFonts w:ascii="Courier New" w:hAnsi="Courier New" w:cs="Arial" w:hint="default"/>
      </w:rPr>
    </w:lvl>
    <w:lvl w:ilvl="5" w:tplc="1A186BE0" w:tentative="1">
      <w:start w:val="1"/>
      <w:numFmt w:val="bullet"/>
      <w:lvlText w:val=""/>
      <w:lvlJc w:val="left"/>
      <w:pPr>
        <w:tabs>
          <w:tab w:val="num" w:pos="4320"/>
        </w:tabs>
        <w:ind w:left="4320" w:hanging="360"/>
      </w:pPr>
      <w:rPr>
        <w:rFonts w:ascii="Wingdings" w:hAnsi="Wingdings" w:hint="default"/>
      </w:rPr>
    </w:lvl>
    <w:lvl w:ilvl="6" w:tplc="EFB45934" w:tentative="1">
      <w:start w:val="1"/>
      <w:numFmt w:val="bullet"/>
      <w:lvlText w:val=""/>
      <w:lvlJc w:val="left"/>
      <w:pPr>
        <w:tabs>
          <w:tab w:val="num" w:pos="5040"/>
        </w:tabs>
        <w:ind w:left="5040" w:hanging="360"/>
      </w:pPr>
      <w:rPr>
        <w:rFonts w:ascii="Symbol" w:hAnsi="Symbol" w:hint="default"/>
      </w:rPr>
    </w:lvl>
    <w:lvl w:ilvl="7" w:tplc="AED4B106" w:tentative="1">
      <w:start w:val="1"/>
      <w:numFmt w:val="bullet"/>
      <w:lvlText w:val="o"/>
      <w:lvlJc w:val="left"/>
      <w:pPr>
        <w:tabs>
          <w:tab w:val="num" w:pos="5760"/>
        </w:tabs>
        <w:ind w:left="5760" w:hanging="360"/>
      </w:pPr>
      <w:rPr>
        <w:rFonts w:ascii="Courier New" w:hAnsi="Courier New" w:cs="Arial" w:hint="default"/>
      </w:rPr>
    </w:lvl>
    <w:lvl w:ilvl="8" w:tplc="D7F4683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CF"/>
    <w:rsid w:val="000A44C4"/>
    <w:rsid w:val="004C0B96"/>
    <w:rsid w:val="006334CF"/>
    <w:rsid w:val="006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79BC"/>
  <w15:chartTrackingRefBased/>
  <w15:docId w15:val="{3D211AA6-40B1-470B-B845-2BDAA436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CF"/>
    <w:pPr>
      <w:tabs>
        <w:tab w:val="left" w:pos="720"/>
        <w:tab w:val="left" w:pos="1080"/>
        <w:tab w:val="left" w:pos="1440"/>
        <w:tab w:val="left" w:pos="1800"/>
      </w:tabs>
    </w:pPr>
    <w:rPr>
      <w:rFonts w:ascii="Book Antiqua" w:eastAsia="Times New Roman" w:hAnsi="Book Antiqua" w:cs="Times New Roman"/>
      <w:szCs w:val="20"/>
    </w:rPr>
  </w:style>
  <w:style w:type="paragraph" w:styleId="Heading3">
    <w:name w:val="heading 3"/>
    <w:aliases w:val="Heading 3 Char Char1 Char,Heading 3 Char Char1 Char Char Char Char,Heading 3 Char Char1 Char Char Char Char Char Char Char Char,Heading 3 Char Char1 Char Char Char Char Char Char Char Char Char Char,Heading 3 Char2 Char Char Char11"/>
    <w:next w:val="Normal"/>
    <w:link w:val="Heading3Char"/>
    <w:qFormat/>
    <w:rsid w:val="006334CF"/>
    <w:pPr>
      <w:keepNext/>
      <w:keepLines/>
      <w:outlineLvl w:val="2"/>
    </w:pPr>
    <w:rPr>
      <w:rFonts w:ascii="Arial" w:eastAsia="Times New Roman" w:hAnsi="Arial" w:cs="Times New Roman"/>
      <w:b/>
      <w:caps/>
      <w:sz w:val="24"/>
      <w:szCs w:val="20"/>
    </w:rPr>
  </w:style>
  <w:style w:type="paragraph" w:styleId="Heading4">
    <w:name w:val="heading 4"/>
    <w:next w:val="Normal"/>
    <w:link w:val="Heading4Char"/>
    <w:uiPriority w:val="9"/>
    <w:qFormat/>
    <w:rsid w:val="006334CF"/>
    <w:pPr>
      <w:keepNext/>
      <w:keepLines/>
      <w:outlineLvl w:val="3"/>
    </w:pPr>
    <w:rPr>
      <w:rFonts w:ascii="Arial" w:eastAsia="Times New Roman" w:hAnsi="Arial" w:cs="Times New Roman"/>
      <w:b/>
      <w:sz w:val="24"/>
      <w:szCs w:val="20"/>
    </w:rPr>
  </w:style>
  <w:style w:type="paragraph" w:styleId="Heading5">
    <w:name w:val="heading 5"/>
    <w:next w:val="Normal"/>
    <w:link w:val="Heading5Char"/>
    <w:qFormat/>
    <w:rsid w:val="006334CF"/>
    <w:pPr>
      <w:keepNext/>
      <w:keepLines/>
      <w:ind w:left="720"/>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6D093E"/>
    <w:pPr>
      <w:numPr>
        <w:numId w:val="2"/>
      </w:numPr>
      <w:spacing w:after="60"/>
      <w:ind w:left="1080" w:hanging="360"/>
      <w:jc w:val="both"/>
    </w:pPr>
    <w:rPr>
      <w:szCs w:val="24"/>
    </w:rPr>
  </w:style>
  <w:style w:type="character" w:customStyle="1" w:styleId="BulletChar">
    <w:name w:val="Bullet Char"/>
    <w:basedOn w:val="DefaultParagraphFont"/>
    <w:link w:val="Bullet"/>
    <w:rsid w:val="006D093E"/>
    <w:rPr>
      <w:rFonts w:ascii="Book Antiqua" w:hAnsi="Book Antiqua"/>
      <w:szCs w:val="24"/>
    </w:rPr>
  </w:style>
  <w:style w:type="character" w:customStyle="1" w:styleId="Heading3Char">
    <w:name w:val="Heading 3 Char"/>
    <w:aliases w:val="Heading 3 Char Char1 Char Char,Heading 3 Char Char1 Char Char Char Char Char,Heading 3 Char Char1 Char Char Char Char Char Char Char Char Char,Heading 3 Char Char1 Char Char Char Char Char Char Char Char Char Char Char"/>
    <w:basedOn w:val="DefaultParagraphFont"/>
    <w:link w:val="Heading3"/>
    <w:rsid w:val="006334CF"/>
    <w:rPr>
      <w:rFonts w:ascii="Arial" w:eastAsia="Times New Roman" w:hAnsi="Arial" w:cs="Times New Roman"/>
      <w:b/>
      <w:caps/>
      <w:sz w:val="24"/>
      <w:szCs w:val="20"/>
    </w:rPr>
  </w:style>
  <w:style w:type="character" w:customStyle="1" w:styleId="Heading4Char">
    <w:name w:val="Heading 4 Char"/>
    <w:basedOn w:val="DefaultParagraphFont"/>
    <w:link w:val="Heading4"/>
    <w:uiPriority w:val="9"/>
    <w:rsid w:val="006334CF"/>
    <w:rPr>
      <w:rFonts w:ascii="Arial" w:eastAsia="Times New Roman" w:hAnsi="Arial" w:cs="Times New Roman"/>
      <w:b/>
      <w:sz w:val="24"/>
      <w:szCs w:val="20"/>
    </w:rPr>
  </w:style>
  <w:style w:type="character" w:customStyle="1" w:styleId="Heading5Char">
    <w:name w:val="Heading 5 Char"/>
    <w:basedOn w:val="DefaultParagraphFont"/>
    <w:link w:val="Heading5"/>
    <w:rsid w:val="006334CF"/>
    <w:rPr>
      <w:rFonts w:ascii="Arial" w:eastAsia="Times New Roman" w:hAnsi="Arial" w:cs="Times New Roman"/>
      <w:b/>
      <w:sz w:val="24"/>
      <w:szCs w:val="20"/>
    </w:rPr>
  </w:style>
  <w:style w:type="paragraph" w:styleId="Header">
    <w:name w:val="header"/>
    <w:aliases w:val="HeaderforTofC"/>
    <w:basedOn w:val="Normal"/>
    <w:link w:val="HeaderChar"/>
    <w:rsid w:val="006334CF"/>
    <w:pPr>
      <w:tabs>
        <w:tab w:val="clear" w:pos="720"/>
        <w:tab w:val="clear" w:pos="1080"/>
        <w:tab w:val="clear" w:pos="1440"/>
        <w:tab w:val="clear" w:pos="1800"/>
        <w:tab w:val="center" w:pos="4320"/>
        <w:tab w:val="right" w:pos="8640"/>
      </w:tabs>
    </w:pPr>
  </w:style>
  <w:style w:type="character" w:customStyle="1" w:styleId="HeaderChar">
    <w:name w:val="Header Char"/>
    <w:aliases w:val="HeaderforTofC Char"/>
    <w:basedOn w:val="DefaultParagraphFont"/>
    <w:link w:val="Header"/>
    <w:rsid w:val="006334CF"/>
    <w:rPr>
      <w:rFonts w:ascii="Book Antiqua" w:eastAsia="Times New Roman" w:hAnsi="Book Antiqua" w:cs="Times New Roman"/>
      <w:szCs w:val="20"/>
    </w:rPr>
  </w:style>
  <w:style w:type="paragraph" w:styleId="ListParagraph">
    <w:name w:val="List Paragraph"/>
    <w:basedOn w:val="Normal"/>
    <w:link w:val="ListParagraphChar"/>
    <w:uiPriority w:val="1"/>
    <w:qFormat/>
    <w:rsid w:val="006334CF"/>
    <w:pPr>
      <w:tabs>
        <w:tab w:val="clear" w:pos="720"/>
        <w:tab w:val="clear" w:pos="1080"/>
        <w:tab w:val="clear" w:pos="1440"/>
        <w:tab w:val="clear" w:pos="1800"/>
      </w:tabs>
      <w:spacing w:after="0"/>
      <w:ind w:left="720"/>
      <w:contextualSpacing/>
    </w:pPr>
    <w:rPr>
      <w:rFonts w:ascii="Times New Roman" w:hAnsi="Times New Roman"/>
      <w:sz w:val="24"/>
    </w:rPr>
  </w:style>
  <w:style w:type="character" w:customStyle="1" w:styleId="ListParagraphChar">
    <w:name w:val="List Paragraph Char"/>
    <w:basedOn w:val="DefaultParagraphFont"/>
    <w:link w:val="ListParagraph"/>
    <w:uiPriority w:val="1"/>
    <w:rsid w:val="006334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34CF"/>
    <w:pPr>
      <w:tabs>
        <w:tab w:val="clear" w:pos="720"/>
        <w:tab w:val="clear" w:pos="1080"/>
        <w:tab w:val="clear" w:pos="1440"/>
        <w:tab w:val="clear" w:pos="1800"/>
        <w:tab w:val="center" w:pos="4680"/>
        <w:tab w:val="right" w:pos="9360"/>
      </w:tabs>
      <w:spacing w:after="0"/>
    </w:pPr>
  </w:style>
  <w:style w:type="character" w:customStyle="1" w:styleId="FooterChar">
    <w:name w:val="Footer Char"/>
    <w:basedOn w:val="DefaultParagraphFont"/>
    <w:link w:val="Footer"/>
    <w:uiPriority w:val="99"/>
    <w:rsid w:val="006334CF"/>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Drabinski</dc:creator>
  <cp:keywords/>
  <dc:description/>
  <cp:lastModifiedBy>Jean Gormley</cp:lastModifiedBy>
  <cp:revision>2</cp:revision>
  <dcterms:created xsi:type="dcterms:W3CDTF">2020-04-27T23:46:00Z</dcterms:created>
  <dcterms:modified xsi:type="dcterms:W3CDTF">2020-08-03T16:31:00Z</dcterms:modified>
</cp:coreProperties>
</file>